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eastAsia="en-US"/>
        </w:rPr>
        <w:id w:val="1312056651"/>
        <w:docPartObj>
          <w:docPartGallery w:val="Cover Pages"/>
          <w:docPartUnique/>
        </w:docPartObj>
      </w:sdtPr>
      <w:sdtEndPr>
        <w:rPr>
          <w:rFonts w:asciiTheme="minorHAnsi" w:eastAsiaTheme="minorHAnsi" w:hAnsiTheme="minorHAnsi" w:cstheme="minorBidi"/>
          <w:caps w:val="0"/>
          <w:color w:val="FFFFFF" w:themeColor="background1"/>
        </w:rPr>
      </w:sdtEndPr>
      <w:sdtContent>
        <w:tbl>
          <w:tblPr>
            <w:tblW w:w="5000" w:type="pct"/>
            <w:jc w:val="center"/>
            <w:tblLook w:val="04A0" w:firstRow="1" w:lastRow="0" w:firstColumn="1" w:lastColumn="0" w:noHBand="0" w:noVBand="1"/>
          </w:tblPr>
          <w:tblGrid>
            <w:gridCol w:w="9962"/>
          </w:tblGrid>
          <w:tr w:rsidR="00CA5F1E">
            <w:trPr>
              <w:trHeight w:val="2880"/>
              <w:jc w:val="center"/>
            </w:trPr>
            <w:tc>
              <w:tcPr>
                <w:tcW w:w="5000" w:type="pct"/>
              </w:tcPr>
              <w:p w:rsidR="00CA5F1E" w:rsidRDefault="008D339B" w:rsidP="008D339B">
                <w:pPr>
                  <w:pStyle w:val="AralkYok"/>
                  <w:jc w:val="center"/>
                  <w:rPr>
                    <w:rFonts w:asciiTheme="majorHAnsi" w:eastAsiaTheme="majorEastAsia" w:hAnsiTheme="majorHAnsi" w:cstheme="majorBidi"/>
                    <w:caps/>
                  </w:rPr>
                </w:pPr>
                <w:r>
                  <w:rPr>
                    <w:noProof/>
                  </w:rPr>
                  <w:drawing>
                    <wp:inline distT="0" distB="0" distL="0" distR="0" wp14:anchorId="6007A7EA" wp14:editId="20C1A775">
                      <wp:extent cx="1932709" cy="581891"/>
                      <wp:effectExtent l="0" t="0" r="0" b="8890"/>
                      <wp:docPr id="4" name="Resim 4"/>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62246" cy="590784"/>
                              </a:xfrm>
                              <a:prstGeom prst="rect">
                                <a:avLst/>
                              </a:prstGeom>
                            </pic:spPr>
                          </pic:pic>
                        </a:graphicData>
                      </a:graphic>
                    </wp:inline>
                  </w:drawing>
                </w:r>
              </w:p>
            </w:tc>
          </w:tr>
          <w:tr w:rsidR="00CA5F1E">
            <w:trPr>
              <w:trHeight w:val="1440"/>
              <w:jc w:val="center"/>
            </w:trPr>
            <w:sdt>
              <w:sdtPr>
                <w:rPr>
                  <w:rFonts w:asciiTheme="majorHAnsi" w:eastAsiaTheme="majorEastAsia" w:hAnsiTheme="majorHAnsi" w:cstheme="majorBidi"/>
                  <w:sz w:val="72"/>
                  <w:szCs w:val="72"/>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CA5F1E" w:rsidRDefault="00700AE8" w:rsidP="00527CD0">
                    <w:pPr>
                      <w:pStyle w:val="AralkYok"/>
                      <w:jc w:val="center"/>
                      <w:rPr>
                        <w:rFonts w:asciiTheme="majorHAnsi" w:eastAsiaTheme="majorEastAsia" w:hAnsiTheme="majorHAnsi" w:cstheme="majorBidi"/>
                        <w:sz w:val="80"/>
                        <w:szCs w:val="80"/>
                      </w:rPr>
                    </w:pPr>
                    <w:r>
                      <w:rPr>
                        <w:rFonts w:asciiTheme="majorHAnsi" w:eastAsiaTheme="majorEastAsia" w:hAnsiTheme="majorHAnsi" w:cstheme="majorBidi"/>
                        <w:sz w:val="72"/>
                        <w:szCs w:val="72"/>
                      </w:rPr>
                      <w:t>BMİ</w:t>
                    </w:r>
                    <w:r w:rsidR="00527CD0">
                      <w:rPr>
                        <w:rFonts w:asciiTheme="majorHAnsi" w:eastAsiaTheme="majorEastAsia" w:hAnsiTheme="majorHAnsi" w:cstheme="majorBidi"/>
                        <w:sz w:val="72"/>
                        <w:szCs w:val="72"/>
                      </w:rPr>
                      <w:t>D</w:t>
                    </w:r>
                    <w:r>
                      <w:rPr>
                        <w:rFonts w:asciiTheme="majorHAnsi" w:eastAsiaTheme="majorEastAsia" w:hAnsiTheme="majorHAnsi" w:cstheme="majorBidi"/>
                        <w:sz w:val="72"/>
                        <w:szCs w:val="72"/>
                      </w:rPr>
                      <w:t>Ç</w:t>
                    </w:r>
                    <w:r w:rsidR="00527CD0">
                      <w:rPr>
                        <w:rFonts w:asciiTheme="majorHAnsi" w:eastAsiaTheme="majorEastAsia" w:hAnsiTheme="majorHAnsi" w:cstheme="majorBidi"/>
                        <w:sz w:val="72"/>
                        <w:szCs w:val="72"/>
                      </w:rPr>
                      <w:t xml:space="preserve">S 20. TARAFLAR KONFERANSININ SONUÇLARINA </w:t>
                    </w:r>
                    <w:r w:rsidR="00CA5F1E" w:rsidRPr="008D339B">
                      <w:rPr>
                        <w:rFonts w:asciiTheme="majorHAnsi" w:eastAsiaTheme="majorEastAsia" w:hAnsiTheme="majorHAnsi" w:cstheme="majorBidi"/>
                        <w:sz w:val="72"/>
                        <w:szCs w:val="72"/>
                      </w:rPr>
                      <w:t>İLİŞKİN BİLGİ NOTU</w:t>
                    </w:r>
                  </w:p>
                </w:tc>
              </w:sdtContent>
            </w:sdt>
          </w:tr>
          <w:tr w:rsidR="00CA5F1E">
            <w:trPr>
              <w:trHeight w:val="720"/>
              <w:jc w:val="center"/>
            </w:trPr>
            <w:tc>
              <w:tcPr>
                <w:tcW w:w="5000" w:type="pct"/>
                <w:tcBorders>
                  <w:top w:val="single" w:sz="4" w:space="0" w:color="4F81BD" w:themeColor="accent1"/>
                </w:tcBorders>
                <w:vAlign w:val="center"/>
              </w:tcPr>
              <w:p w:rsidR="00CA5F1E" w:rsidRDefault="00CA5F1E" w:rsidP="00CA5F1E">
                <w:pPr>
                  <w:pStyle w:val="AralkYok"/>
                  <w:rPr>
                    <w:rFonts w:asciiTheme="majorHAnsi" w:eastAsiaTheme="majorEastAsia" w:hAnsiTheme="majorHAnsi" w:cstheme="majorBidi"/>
                    <w:sz w:val="44"/>
                    <w:szCs w:val="44"/>
                  </w:rPr>
                </w:pPr>
              </w:p>
            </w:tc>
          </w:tr>
          <w:tr w:rsidR="00CA5F1E" w:rsidTr="008D339B">
            <w:trPr>
              <w:trHeight w:val="55"/>
              <w:jc w:val="center"/>
            </w:trPr>
            <w:tc>
              <w:tcPr>
                <w:tcW w:w="5000" w:type="pct"/>
                <w:vAlign w:val="center"/>
              </w:tcPr>
              <w:p w:rsidR="00CA5F1E" w:rsidRDefault="008D339B">
                <w:pPr>
                  <w:pStyle w:val="AralkYok"/>
                  <w:jc w:val="center"/>
                </w:pPr>
                <w:r>
                  <w:rPr>
                    <w:noProof/>
                  </w:rPr>
                  <mc:AlternateContent>
                    <mc:Choice Requires="wps">
                      <w:drawing>
                        <wp:anchor distT="0" distB="0" distL="114300" distR="114300" simplePos="0" relativeHeight="251659264" behindDoc="0" locked="0" layoutInCell="1" allowOverlap="1" wp14:anchorId="4041F91D" wp14:editId="3DFE9D8F">
                          <wp:simplePos x="0" y="0"/>
                          <wp:positionH relativeFrom="column">
                            <wp:posOffset>1724025</wp:posOffset>
                          </wp:positionH>
                          <wp:positionV relativeFrom="paragraph">
                            <wp:posOffset>690245</wp:posOffset>
                          </wp:positionV>
                          <wp:extent cx="2870200" cy="287655"/>
                          <wp:effectExtent l="0" t="0" r="6350" b="0"/>
                          <wp:wrapNone/>
                          <wp:docPr id="3" name="Metin Kutusu 3"/>
                          <wp:cNvGraphicFramePr/>
                          <a:graphic xmlns:a="http://schemas.openxmlformats.org/drawingml/2006/main">
                            <a:graphicData uri="http://schemas.microsoft.com/office/word/2010/wordprocessingShape">
                              <wps:wsp>
                                <wps:cNvSpPr txBox="1"/>
                                <wps:spPr>
                                  <a:xfrm>
                                    <a:off x="0" y="0"/>
                                    <a:ext cx="2870200" cy="2876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13606" w:rsidRDefault="00C13606">
                                      <w:r>
                                        <w:t xml:space="preserve">Sanayi Stratejisi ve </w:t>
                                      </w:r>
                                      <w:proofErr w:type="spellStart"/>
                                      <w:r>
                                        <w:t>Sektörel</w:t>
                                      </w:r>
                                      <w:proofErr w:type="spellEnd"/>
                                      <w:r>
                                        <w:t xml:space="preserve"> Politikalar Bölümü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3" o:spid="_x0000_s1026" type="#_x0000_t202" style="position:absolute;left:0;text-align:left;margin-left:135.75pt;margin-top:54.35pt;width:226pt;height:2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" fillcolor="white [3201]" stroked="f" strokeweight=".5pt">
                          <v:textbox>
                            <w:txbxContent>
                              <w:p w:rsidR="00C13606" w:rsidRDefault="00C13606">
                                <w:r>
                                  <w:t xml:space="preserve">Sanayi Stratejisi ve </w:t>
                                </w:r>
                                <w:proofErr w:type="spellStart"/>
                                <w:r>
                                  <w:t>Sektörel</w:t>
                                </w:r>
                                <w:proofErr w:type="spellEnd"/>
                                <w:r>
                                  <w:t xml:space="preserve"> Politikalar Bölümü </w:t>
                                </w:r>
                              </w:p>
                            </w:txbxContent>
                          </v:textbox>
                        </v:shape>
                      </w:pict>
                    </mc:Fallback>
                  </mc:AlternateContent>
                </w:r>
              </w:p>
            </w:tc>
          </w:tr>
          <w:tr w:rsidR="00CA5F1E" w:rsidTr="008D339B">
            <w:trPr>
              <w:trHeight w:val="1213"/>
              <w:jc w:val="center"/>
            </w:trPr>
            <w:sdt>
              <w:sdtPr>
                <w:rPr>
                  <w:b/>
                  <w:bCs/>
                </w:rPr>
                <w:alias w:val="Yaza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CA5F1E" w:rsidRDefault="00CA5F1E" w:rsidP="00CA5F1E">
                    <w:pPr>
                      <w:pStyle w:val="AralkYok"/>
                      <w:jc w:val="center"/>
                      <w:rPr>
                        <w:b/>
                        <w:bCs/>
                      </w:rPr>
                    </w:pPr>
                    <w:r>
                      <w:rPr>
                        <w:b/>
                        <w:bCs/>
                      </w:rPr>
                      <w:t>Tanyeli Behiç SABUNCU</w:t>
                    </w:r>
                  </w:p>
                </w:tc>
              </w:sdtContent>
            </w:sdt>
          </w:tr>
          <w:tr w:rsidR="00CA5F1E">
            <w:trPr>
              <w:trHeight w:val="360"/>
              <w:jc w:val="center"/>
            </w:trPr>
            <w:sdt>
              <w:sdtPr>
                <w:rPr>
                  <w:b/>
                  <w:bCs/>
                </w:rPr>
                <w:alias w:val="Tarih"/>
                <w:id w:val="516659546"/>
                <w:dataBinding w:prefixMappings="xmlns:ns0='http://schemas.microsoft.com/office/2006/coverPageProps'" w:xpath="/ns0:CoverPageProperties[1]/ns0:PublishDate[1]" w:storeItemID="{55AF091B-3C7A-41E3-B477-F2FDAA23CFDA}"/>
                <w:date w:fullDate="2015-01-06T00:00:00Z">
                  <w:dateFormat w:val="dd.MM.yyyy"/>
                  <w:lid w:val="tr-TR"/>
                  <w:storeMappedDataAs w:val="dateTime"/>
                  <w:calendar w:val="gregorian"/>
                </w:date>
              </w:sdtPr>
              <w:sdtEndPr/>
              <w:sdtContent>
                <w:tc>
                  <w:tcPr>
                    <w:tcW w:w="5000" w:type="pct"/>
                    <w:vAlign w:val="center"/>
                  </w:tcPr>
                  <w:p w:rsidR="00CA5F1E" w:rsidRDefault="00137038">
                    <w:pPr>
                      <w:pStyle w:val="AralkYok"/>
                      <w:jc w:val="center"/>
                      <w:rPr>
                        <w:b/>
                        <w:bCs/>
                      </w:rPr>
                    </w:pPr>
                    <w:r>
                      <w:rPr>
                        <w:b/>
                        <w:bCs/>
                      </w:rPr>
                      <w:t>06.01.2015</w:t>
                    </w:r>
                  </w:p>
                </w:tc>
              </w:sdtContent>
            </w:sdt>
          </w:tr>
        </w:tbl>
        <w:p w:rsidR="00CA5F1E" w:rsidRDefault="00CA5F1E"/>
        <w:p w:rsidR="00CA5F1E" w:rsidRDefault="00CA5F1E"/>
        <w:tbl>
          <w:tblPr>
            <w:tblpPr w:leftFromText="187" w:rightFromText="187" w:horzAnchor="margin" w:tblpXSpec="center" w:tblpYSpec="bottom"/>
            <w:tblW w:w="5000" w:type="pct"/>
            <w:tblLook w:val="04A0" w:firstRow="1" w:lastRow="0" w:firstColumn="1" w:lastColumn="0" w:noHBand="0" w:noVBand="1"/>
          </w:tblPr>
          <w:tblGrid>
            <w:gridCol w:w="9962"/>
          </w:tblGrid>
          <w:tr w:rsidR="00CA5F1E">
            <w:tc>
              <w:tcPr>
                <w:tcW w:w="5000" w:type="pct"/>
              </w:tcPr>
              <w:p w:rsidR="00CA5F1E" w:rsidRDefault="00CA5F1E">
                <w:pPr>
                  <w:pStyle w:val="AralkYok"/>
                </w:pPr>
              </w:p>
            </w:tc>
          </w:tr>
        </w:tbl>
        <w:p w:rsidR="00CA5F1E" w:rsidRDefault="00CA5F1E"/>
        <w:p w:rsidR="00CA5F1E" w:rsidRDefault="00CA5F1E">
          <w:pPr>
            <w:rPr>
              <w:color w:val="FFFFFF" w:themeColor="background1"/>
            </w:rPr>
          </w:pPr>
          <w:r>
            <w:rPr>
              <w:color w:val="FFFFFF" w:themeColor="background1"/>
            </w:rPr>
            <w:br w:type="page"/>
          </w:r>
        </w:p>
      </w:sdtContent>
    </w:sdt>
    <w:p w:rsidR="00B144A9" w:rsidRDefault="00BE7869" w:rsidP="00211BC6">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rsidR="00137038" w:rsidRPr="00137038" w:rsidRDefault="00137038" w:rsidP="00137038">
      <w:pPr>
        <w:spacing w:after="0" w:line="360" w:lineRule="auto"/>
        <w:jc w:val="center"/>
        <w:rPr>
          <w:rFonts w:ascii="Times New Roman" w:eastAsia="Times New Roman" w:hAnsi="Times New Roman" w:cs="Times New Roman"/>
          <w:b/>
          <w:sz w:val="24"/>
          <w:lang w:eastAsia="tr-TR"/>
        </w:rPr>
      </w:pPr>
      <w:r w:rsidRPr="00137038">
        <w:rPr>
          <w:rFonts w:ascii="Times New Roman" w:eastAsia="Times New Roman" w:hAnsi="Times New Roman" w:cs="Times New Roman"/>
          <w:b/>
          <w:sz w:val="32"/>
          <w:lang w:eastAsia="tr-TR"/>
        </w:rPr>
        <w:t>BMİDÇS 20. TARAFLAR KONFERANSI SONUÇLARINA İLİŞKİN BİLGİ NOTU</w:t>
      </w:r>
    </w:p>
    <w:p w:rsidR="00137038" w:rsidRPr="00137038" w:rsidRDefault="00137038" w:rsidP="00137038">
      <w:pPr>
        <w:spacing w:after="0" w:line="360" w:lineRule="auto"/>
        <w:jc w:val="right"/>
        <w:rPr>
          <w:rFonts w:ascii="Times New Roman" w:eastAsia="Times New Roman" w:hAnsi="Times New Roman" w:cs="Times New Roman"/>
          <w:b/>
          <w:sz w:val="24"/>
          <w:lang w:eastAsia="tr-TR"/>
        </w:rPr>
      </w:pPr>
      <w:r w:rsidRPr="00137038">
        <w:rPr>
          <w:rFonts w:ascii="Times New Roman" w:eastAsia="Times New Roman" w:hAnsi="Times New Roman" w:cs="Times New Roman"/>
          <w:b/>
          <w:sz w:val="24"/>
          <w:lang w:eastAsia="tr-TR"/>
        </w:rPr>
        <w:t>TS/SSB/2014-054</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b/>
          <w:sz w:val="24"/>
          <w:lang w:eastAsia="tr-TR"/>
        </w:rPr>
      </w:pPr>
      <w:r w:rsidRPr="00137038">
        <w:rPr>
          <w:rFonts w:ascii="Times New Roman" w:eastAsia="Times New Roman" w:hAnsi="Times New Roman" w:cs="Times New Roman"/>
          <w:sz w:val="24"/>
          <w:lang w:eastAsia="tr-TR"/>
        </w:rPr>
        <w:t xml:space="preserve">Birleşmiş Milletler İklim Değişikliği Çerçeve Sözleşmesi (BMİDÇS) 20. Taraflar Konferansı (COP 20) 1-14 Aralık 2014 tarihleri arasında Peru’nun Lima kentinde gerçekleşmiştir. Önümüzdeki yıl Paris’te gerçekleşecek olan ve 2020 yılı sonrasına yönelik yeni iklim değişikliği anlaşmasının imzalanması beklenen COP 21 öncesindeki son taraflar konferansı olması dolayısıyla, COP 20 önemli bir dönemeç niteliğindedir. Lima’dan çıkan sonuçlar Paris’te imzalanması öngörülen anlaşmaya ilişkin yansımaları bakımından büyük önem taşımaktadır. Bu bilgi notu söz konusu önemli dönemeçte alınan kararları geçtiğimiz yıldan bu yana yaşanan gelişmeler ve oluşan beklentiler ışığında ele almak üzere hazırlanmıştır. Bu çerçevede COP 19’un sonuçları kısaca özetlenmiş, son bir yıl içerisinde yaşanan gelişmeler ve COP 20’ye ilişkin beklentiler ortaya konmuş, COP 20’de alınan kararlarda öne çıkan hususlar sıralanmış ve değerlendirilmiştir. Buna ek olarak, taraf ülkeler arasındaki tutum farklılarını içeren konulara, Türkiye’nin durumuna ve son olarak konferans boyunca gerçekleşen yan etkinliklerde öne çıkan hususlara dikkat çekilmiştir.   </w:t>
      </w:r>
    </w:p>
    <w:p w:rsidR="00137038" w:rsidRPr="00137038" w:rsidRDefault="00137038" w:rsidP="00137038">
      <w:pPr>
        <w:spacing w:after="0" w:line="360" w:lineRule="auto"/>
        <w:jc w:val="both"/>
        <w:rPr>
          <w:rFonts w:ascii="Times New Roman" w:eastAsia="Times New Roman" w:hAnsi="Times New Roman" w:cs="Times New Roman"/>
          <w:b/>
          <w:sz w:val="24"/>
          <w:lang w:eastAsia="tr-TR"/>
        </w:rPr>
      </w:pPr>
    </w:p>
    <w:p w:rsidR="00137038" w:rsidRPr="00137038" w:rsidRDefault="00137038" w:rsidP="00137038">
      <w:pPr>
        <w:numPr>
          <w:ilvl w:val="0"/>
          <w:numId w:val="10"/>
        </w:numPr>
        <w:spacing w:after="0" w:line="360" w:lineRule="auto"/>
        <w:ind w:left="1080" w:hanging="720"/>
        <w:jc w:val="both"/>
        <w:rPr>
          <w:rFonts w:ascii="Times New Roman" w:eastAsia="Times New Roman" w:hAnsi="Times New Roman" w:cs="Times New Roman"/>
          <w:b/>
          <w:sz w:val="28"/>
          <w:lang w:eastAsia="tr-TR"/>
        </w:rPr>
      </w:pPr>
      <w:r w:rsidRPr="00137038">
        <w:rPr>
          <w:rFonts w:ascii="Times New Roman" w:eastAsia="Times New Roman" w:hAnsi="Times New Roman" w:cs="Times New Roman"/>
          <w:b/>
          <w:sz w:val="28"/>
          <w:lang w:eastAsia="tr-TR"/>
        </w:rPr>
        <w:t>COP 19’un Sonuçları</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Geçtiğimiz yıl Kasım ayında Varşova’da gerçekleşen COP 19’un öne çıkan sonuçlarını aşağıdaki biçimde özetlemek mümkündür: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numPr>
          <w:ilvl w:val="0"/>
          <w:numId w:val="11"/>
        </w:numPr>
        <w:spacing w:after="0" w:line="360" w:lineRule="auto"/>
        <w:ind w:left="720"/>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Atmosferdeki sera gazı </w:t>
      </w:r>
      <w:proofErr w:type="gramStart"/>
      <w:r w:rsidRPr="00137038">
        <w:rPr>
          <w:rFonts w:ascii="Times New Roman" w:eastAsia="Times New Roman" w:hAnsi="Times New Roman" w:cs="Times New Roman"/>
          <w:sz w:val="24"/>
          <w:lang w:eastAsia="tr-TR"/>
        </w:rPr>
        <w:t>emisyonlarının</w:t>
      </w:r>
      <w:proofErr w:type="gramEnd"/>
      <w:r w:rsidRPr="00137038">
        <w:rPr>
          <w:rFonts w:ascii="Times New Roman" w:eastAsia="Times New Roman" w:hAnsi="Times New Roman" w:cs="Times New Roman"/>
          <w:sz w:val="24"/>
          <w:lang w:eastAsia="tr-TR"/>
        </w:rPr>
        <w:t xml:space="preserve"> azaltılmasına yönelik olarak tüm taraf ülkelere ulusal katkılarını (</w:t>
      </w:r>
      <w:proofErr w:type="spellStart"/>
      <w:r w:rsidRPr="00137038">
        <w:rPr>
          <w:rFonts w:ascii="Times New Roman" w:eastAsia="Times New Roman" w:hAnsi="Times New Roman" w:cs="Times New Roman"/>
          <w:i/>
          <w:sz w:val="24"/>
          <w:lang w:eastAsia="tr-TR"/>
        </w:rPr>
        <w:t>Intended</w:t>
      </w:r>
      <w:proofErr w:type="spellEnd"/>
      <w:r w:rsidRPr="00137038">
        <w:rPr>
          <w:rFonts w:ascii="Times New Roman" w:eastAsia="Times New Roman" w:hAnsi="Times New Roman" w:cs="Times New Roman"/>
          <w:i/>
          <w:sz w:val="24"/>
          <w:lang w:eastAsia="tr-TR"/>
        </w:rPr>
        <w:t xml:space="preserve"> </w:t>
      </w:r>
      <w:proofErr w:type="spellStart"/>
      <w:r w:rsidRPr="00137038">
        <w:rPr>
          <w:rFonts w:ascii="Times New Roman" w:eastAsia="Times New Roman" w:hAnsi="Times New Roman" w:cs="Times New Roman"/>
          <w:i/>
          <w:sz w:val="24"/>
          <w:lang w:eastAsia="tr-TR"/>
        </w:rPr>
        <w:t>Nationally</w:t>
      </w:r>
      <w:proofErr w:type="spellEnd"/>
      <w:r w:rsidRPr="00137038">
        <w:rPr>
          <w:rFonts w:ascii="Times New Roman" w:eastAsia="Times New Roman" w:hAnsi="Times New Roman" w:cs="Times New Roman"/>
          <w:i/>
          <w:sz w:val="24"/>
          <w:lang w:eastAsia="tr-TR"/>
        </w:rPr>
        <w:t xml:space="preserve"> </w:t>
      </w:r>
      <w:proofErr w:type="spellStart"/>
      <w:r w:rsidRPr="00137038">
        <w:rPr>
          <w:rFonts w:ascii="Times New Roman" w:eastAsia="Times New Roman" w:hAnsi="Times New Roman" w:cs="Times New Roman"/>
          <w:i/>
          <w:sz w:val="24"/>
          <w:lang w:eastAsia="tr-TR"/>
        </w:rPr>
        <w:t>Determined</w:t>
      </w:r>
      <w:proofErr w:type="spellEnd"/>
      <w:r w:rsidRPr="00137038">
        <w:rPr>
          <w:rFonts w:ascii="Times New Roman" w:eastAsia="Times New Roman" w:hAnsi="Times New Roman" w:cs="Times New Roman"/>
          <w:i/>
          <w:sz w:val="24"/>
          <w:lang w:eastAsia="tr-TR"/>
        </w:rPr>
        <w:t xml:space="preserve"> </w:t>
      </w:r>
      <w:proofErr w:type="spellStart"/>
      <w:r w:rsidRPr="00137038">
        <w:rPr>
          <w:rFonts w:ascii="Times New Roman" w:eastAsia="Times New Roman" w:hAnsi="Times New Roman" w:cs="Times New Roman"/>
          <w:i/>
          <w:sz w:val="24"/>
          <w:lang w:eastAsia="tr-TR"/>
        </w:rPr>
        <w:t>Contributions</w:t>
      </w:r>
      <w:proofErr w:type="spellEnd"/>
      <w:r w:rsidRPr="00137038">
        <w:rPr>
          <w:rFonts w:ascii="Times New Roman" w:eastAsia="Times New Roman" w:hAnsi="Times New Roman" w:cs="Times New Roman"/>
          <w:sz w:val="24"/>
          <w:lang w:eastAsia="tr-TR"/>
        </w:rPr>
        <w:t xml:space="preserve">) ortaya koymaya yönelik bir çağrıda bulunulmuş </w:t>
      </w:r>
    </w:p>
    <w:p w:rsidR="00137038" w:rsidRPr="00137038" w:rsidRDefault="00137038" w:rsidP="00137038">
      <w:pPr>
        <w:numPr>
          <w:ilvl w:val="0"/>
          <w:numId w:val="11"/>
        </w:numPr>
        <w:spacing w:after="0" w:line="360" w:lineRule="auto"/>
        <w:ind w:left="720"/>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2020 sonrasına ilişkin anlaşmanın içeriğine yönelik unsurları ortaya koyan taslak müzakere metninin 2015 yılı Mayıs ayında tamamlanması amacıyla çalışmalara başlanmasına karar verilmiş </w:t>
      </w:r>
    </w:p>
    <w:p w:rsidR="00137038" w:rsidRPr="00137038" w:rsidRDefault="00137038" w:rsidP="00137038">
      <w:pPr>
        <w:numPr>
          <w:ilvl w:val="0"/>
          <w:numId w:val="11"/>
        </w:numPr>
        <w:spacing w:after="0" w:line="360" w:lineRule="auto"/>
        <w:ind w:left="720"/>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İklim değişikliğinin olumsuz etkileri sonucu ortaya çıkan kayıp ve zararlara yönelik Varşova Mekanizması kurulmuş ve </w:t>
      </w:r>
    </w:p>
    <w:p w:rsidR="00137038" w:rsidRPr="00137038" w:rsidRDefault="00137038" w:rsidP="00137038">
      <w:pPr>
        <w:numPr>
          <w:ilvl w:val="0"/>
          <w:numId w:val="11"/>
        </w:numPr>
        <w:spacing w:after="0" w:line="360" w:lineRule="auto"/>
        <w:ind w:left="720"/>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lastRenderedPageBreak/>
        <w:t xml:space="preserve">Yeşil İklim Fonu’nun politikaları, program öncelikleri ve uygunluk </w:t>
      </w:r>
      <w:proofErr w:type="gramStart"/>
      <w:r w:rsidRPr="00137038">
        <w:rPr>
          <w:rFonts w:ascii="Times New Roman" w:eastAsia="Times New Roman" w:hAnsi="Times New Roman" w:cs="Times New Roman"/>
          <w:sz w:val="24"/>
          <w:lang w:eastAsia="tr-TR"/>
        </w:rPr>
        <w:t>kriterlerine</w:t>
      </w:r>
      <w:proofErr w:type="gramEnd"/>
      <w:r w:rsidRPr="00137038">
        <w:rPr>
          <w:rFonts w:ascii="Times New Roman" w:eastAsia="Times New Roman" w:hAnsi="Times New Roman" w:cs="Times New Roman"/>
          <w:sz w:val="24"/>
          <w:lang w:eastAsia="tr-TR"/>
        </w:rPr>
        <w:t xml:space="preserve"> ilişkin ön kılavuz ilkeleri belirlenmiştir. </w:t>
      </w:r>
    </w:p>
    <w:p w:rsidR="00137038" w:rsidRPr="00137038" w:rsidRDefault="00137038" w:rsidP="00137038">
      <w:pPr>
        <w:spacing w:after="0" w:line="360" w:lineRule="auto"/>
        <w:ind w:left="720"/>
        <w:jc w:val="both"/>
        <w:rPr>
          <w:rFonts w:ascii="Times New Roman" w:eastAsia="Times New Roman" w:hAnsi="Times New Roman" w:cs="Times New Roman"/>
          <w:sz w:val="24"/>
          <w:lang w:eastAsia="tr-TR"/>
        </w:rPr>
      </w:pPr>
    </w:p>
    <w:p w:rsidR="00137038" w:rsidRPr="00137038" w:rsidRDefault="00137038" w:rsidP="00137038">
      <w:pPr>
        <w:numPr>
          <w:ilvl w:val="0"/>
          <w:numId w:val="12"/>
        </w:numPr>
        <w:spacing w:after="0" w:line="240" w:lineRule="auto"/>
        <w:ind w:left="1077" w:hanging="720"/>
        <w:jc w:val="both"/>
        <w:rPr>
          <w:rFonts w:ascii="Times New Roman" w:eastAsia="Times New Roman" w:hAnsi="Times New Roman" w:cs="Times New Roman"/>
          <w:b/>
          <w:sz w:val="28"/>
          <w:lang w:eastAsia="tr-TR"/>
        </w:rPr>
      </w:pPr>
      <w:r w:rsidRPr="00137038">
        <w:rPr>
          <w:rFonts w:ascii="Times New Roman" w:eastAsia="Times New Roman" w:hAnsi="Times New Roman" w:cs="Times New Roman"/>
          <w:b/>
          <w:sz w:val="28"/>
          <w:lang w:eastAsia="tr-TR"/>
        </w:rPr>
        <w:t xml:space="preserve">Son bir yıl içerisinde öne çıkan gelişmeler ve COP 20’ye ilişkin beklentiler </w:t>
      </w:r>
    </w:p>
    <w:p w:rsidR="00137038" w:rsidRPr="00137038" w:rsidRDefault="00137038" w:rsidP="00137038">
      <w:pPr>
        <w:spacing w:after="0" w:line="360" w:lineRule="auto"/>
        <w:jc w:val="both"/>
        <w:rPr>
          <w:rFonts w:ascii="Times New Roman" w:eastAsia="Times New Roman" w:hAnsi="Times New Roman" w:cs="Times New Roman"/>
          <w:b/>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COP 20’nin sonuçlarının doğru biçimde değerlendirilebilmesi için bu zirveye ilişkin beklentilerin ortaya konması ve bir önceki zirveden bu yana yaşanan gelişmelerin dikkate alınması faydalı olacaktır.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2020 yılı sonrasına yönelik anlaşmanın müzakere metnini hazırlamakla yetkili olan </w:t>
      </w:r>
      <w:proofErr w:type="spellStart"/>
      <w:r w:rsidRPr="00137038">
        <w:rPr>
          <w:rFonts w:ascii="Times New Roman" w:eastAsia="Times New Roman" w:hAnsi="Times New Roman" w:cs="Times New Roman"/>
          <w:sz w:val="24"/>
          <w:lang w:eastAsia="tr-TR"/>
        </w:rPr>
        <w:t>Durban</w:t>
      </w:r>
      <w:proofErr w:type="spellEnd"/>
      <w:r w:rsidRPr="00137038">
        <w:rPr>
          <w:rFonts w:ascii="Times New Roman" w:eastAsia="Times New Roman" w:hAnsi="Times New Roman" w:cs="Times New Roman"/>
          <w:sz w:val="24"/>
          <w:lang w:eastAsia="tr-TR"/>
        </w:rPr>
        <w:t xml:space="preserve"> Güçlendirilmiş Eylem Platformu Geçici Çalışma Grubu (Ad Hoc </w:t>
      </w:r>
      <w:proofErr w:type="spellStart"/>
      <w:r w:rsidRPr="00137038">
        <w:rPr>
          <w:rFonts w:ascii="Times New Roman" w:eastAsia="Times New Roman" w:hAnsi="Times New Roman" w:cs="Times New Roman"/>
          <w:sz w:val="24"/>
          <w:lang w:eastAsia="tr-TR"/>
        </w:rPr>
        <w:t>Working</w:t>
      </w:r>
      <w:proofErr w:type="spell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Group</w:t>
      </w:r>
      <w:proofErr w:type="spellEnd"/>
      <w:r w:rsidRPr="00137038">
        <w:rPr>
          <w:rFonts w:ascii="Times New Roman" w:eastAsia="Times New Roman" w:hAnsi="Times New Roman" w:cs="Times New Roman"/>
          <w:sz w:val="24"/>
          <w:lang w:eastAsia="tr-TR"/>
        </w:rPr>
        <w:t xml:space="preserve"> on </w:t>
      </w:r>
      <w:proofErr w:type="spellStart"/>
      <w:r w:rsidRPr="00137038">
        <w:rPr>
          <w:rFonts w:ascii="Times New Roman" w:eastAsia="Times New Roman" w:hAnsi="Times New Roman" w:cs="Times New Roman"/>
          <w:sz w:val="24"/>
          <w:lang w:eastAsia="tr-TR"/>
        </w:rPr>
        <w:t>the</w:t>
      </w:r>
      <w:proofErr w:type="spell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Durban</w:t>
      </w:r>
      <w:proofErr w:type="spellEnd"/>
      <w:r w:rsidRPr="00137038">
        <w:rPr>
          <w:rFonts w:ascii="Times New Roman" w:eastAsia="Times New Roman" w:hAnsi="Times New Roman" w:cs="Times New Roman"/>
          <w:sz w:val="24"/>
          <w:lang w:eastAsia="tr-TR"/>
        </w:rPr>
        <w:t xml:space="preserve"> Platform </w:t>
      </w:r>
      <w:proofErr w:type="spellStart"/>
      <w:r w:rsidRPr="00137038">
        <w:rPr>
          <w:rFonts w:ascii="Times New Roman" w:eastAsia="Times New Roman" w:hAnsi="Times New Roman" w:cs="Times New Roman"/>
          <w:sz w:val="24"/>
          <w:lang w:eastAsia="tr-TR"/>
        </w:rPr>
        <w:t>for</w:t>
      </w:r>
      <w:proofErr w:type="spell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Enhanced</w:t>
      </w:r>
      <w:proofErr w:type="spellEnd"/>
      <w:r w:rsidRPr="00137038">
        <w:rPr>
          <w:rFonts w:ascii="Times New Roman" w:eastAsia="Times New Roman" w:hAnsi="Times New Roman" w:cs="Times New Roman"/>
          <w:sz w:val="24"/>
          <w:lang w:eastAsia="tr-TR"/>
        </w:rPr>
        <w:t xml:space="preserve"> Action-ADP) bu yıl içerisinde ulusal katkıların içeriğinin belirlenmesi ve müzakere metni taslağının oluşturulmasına yönelik çalışmalarına devam etmiştir. Bu çerçevede bu yıl Mart, Haziran ve Ekim aylarında bir araya gelen ADP her iki konuya ilişkin metinler üzerinde çalışmalarını sürdürmüştür.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İklim finansmanına ilişkin olarak Varşova’da Yeşil İklim Fonu’nun öncelikleri ve ölçütlerine ilişkin bazı yönlendirici kararlar alınmış olmasına rağmen söz konusu fona henüz hangi ülkenin ne kadar katkı sağlayacağı belirsizliğini korumaktaydı. Son bir yıl içerisinde taraf ülkeler fona katkılarını açıklamaya başladılar. COP 20 öncesinde fona yönelik olarak sağlanacağı açıklanan katkı miktarı 10 milyar ABD dolarına yakın bir düzeye ulaşmıştır.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Geçtiğimiz yıl sonundan bu yana öne çıkan bir diğer gelişme ise Amerika Birleşik Devletleri (ABD) ve Çin arasında </w:t>
      </w:r>
      <w:proofErr w:type="gramStart"/>
      <w:r w:rsidRPr="00137038">
        <w:rPr>
          <w:rFonts w:ascii="Times New Roman" w:eastAsia="Times New Roman" w:hAnsi="Times New Roman" w:cs="Times New Roman"/>
          <w:sz w:val="24"/>
          <w:lang w:eastAsia="tr-TR"/>
        </w:rPr>
        <w:t>emisyon</w:t>
      </w:r>
      <w:proofErr w:type="gram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azaltımına</w:t>
      </w:r>
      <w:proofErr w:type="spellEnd"/>
      <w:r w:rsidRPr="00137038">
        <w:rPr>
          <w:rFonts w:ascii="Times New Roman" w:eastAsia="Times New Roman" w:hAnsi="Times New Roman" w:cs="Times New Roman"/>
          <w:sz w:val="24"/>
          <w:lang w:eastAsia="tr-TR"/>
        </w:rPr>
        <w:t xml:space="preserve"> ilişkin olarak varılan uzlaşı olmuştur. Bu uzlaşı kapsamında ABD 2025 yılına kadar sera gazı </w:t>
      </w:r>
      <w:proofErr w:type="gramStart"/>
      <w:r w:rsidRPr="00137038">
        <w:rPr>
          <w:rFonts w:ascii="Times New Roman" w:eastAsia="Times New Roman" w:hAnsi="Times New Roman" w:cs="Times New Roman"/>
          <w:sz w:val="24"/>
          <w:lang w:eastAsia="tr-TR"/>
        </w:rPr>
        <w:t>emisyonlarını</w:t>
      </w:r>
      <w:proofErr w:type="gramEnd"/>
      <w:r w:rsidRPr="00137038">
        <w:rPr>
          <w:rFonts w:ascii="Times New Roman" w:eastAsia="Times New Roman" w:hAnsi="Times New Roman" w:cs="Times New Roman"/>
          <w:sz w:val="24"/>
          <w:lang w:eastAsia="tr-TR"/>
        </w:rPr>
        <w:t xml:space="preserve"> 2005 yılına kıyasla % 25-28 oranında azaltacağını açıklarken Çin ise emisyonlarının 2030 yılı itibariyle en yüksek düzeye ulaşacağını duyurmuş, bir başka deyişle 2030’dan itibaren emisyonlarını azaltmaya başlayacağını ortaya koymuştur.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Varşova’da ortaya çıkan sonuçlar ve sonrasında yaşanan gelişmeler dikkate alındığında COP 21’e ilişkin beklentileri aşağıdaki gibi özetlemek mümkün olacaktır:</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w:t>
      </w:r>
      <w:r w:rsidRPr="00137038">
        <w:rPr>
          <w:rFonts w:ascii="Times New Roman" w:eastAsia="Times New Roman" w:hAnsi="Times New Roman" w:cs="Times New Roman"/>
          <w:sz w:val="24"/>
          <w:lang w:eastAsia="tr-TR"/>
        </w:rPr>
        <w:tab/>
        <w:t xml:space="preserve">Ulusal katkıların içeriğinin tanımlanması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w:t>
      </w:r>
      <w:r w:rsidRPr="00137038">
        <w:rPr>
          <w:rFonts w:ascii="Times New Roman" w:eastAsia="Times New Roman" w:hAnsi="Times New Roman" w:cs="Times New Roman"/>
          <w:sz w:val="24"/>
          <w:lang w:eastAsia="tr-TR"/>
        </w:rPr>
        <w:tab/>
        <w:t xml:space="preserve">2020 sonrasına yönelik anlaşmaya ilişkin müzakere metninin temel unsurlarının belirlenmesi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lastRenderedPageBreak/>
        <w:t>-</w:t>
      </w:r>
      <w:r w:rsidRPr="00137038">
        <w:rPr>
          <w:rFonts w:ascii="Times New Roman" w:eastAsia="Times New Roman" w:hAnsi="Times New Roman" w:cs="Times New Roman"/>
          <w:sz w:val="24"/>
          <w:lang w:eastAsia="tr-TR"/>
        </w:rPr>
        <w:tab/>
        <w:t>Varşova Mekanizması ve Yeşil İklim Fonu’nun hayata geçirilmesine yönelik adımlar atılması</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numPr>
          <w:ilvl w:val="0"/>
          <w:numId w:val="13"/>
        </w:numPr>
        <w:spacing w:after="0" w:line="360" w:lineRule="auto"/>
        <w:ind w:left="1080" w:hanging="720"/>
        <w:jc w:val="both"/>
        <w:rPr>
          <w:rFonts w:ascii="Times New Roman" w:eastAsia="Times New Roman" w:hAnsi="Times New Roman" w:cs="Times New Roman"/>
          <w:b/>
          <w:sz w:val="28"/>
          <w:lang w:eastAsia="tr-TR"/>
        </w:rPr>
      </w:pPr>
      <w:r w:rsidRPr="00137038">
        <w:rPr>
          <w:rFonts w:ascii="Times New Roman" w:eastAsia="Times New Roman" w:hAnsi="Times New Roman" w:cs="Times New Roman"/>
          <w:b/>
          <w:sz w:val="28"/>
          <w:lang w:eastAsia="tr-TR"/>
        </w:rPr>
        <w:t xml:space="preserve">Alınan Kararlar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Oluşan beklentiler ışığında COP 20 kapsamında alınan kararları aşağıdaki gibi özetlemek mümkün olacaktır.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b/>
          <w:sz w:val="24"/>
          <w:u w:val="single"/>
          <w:lang w:eastAsia="tr-TR"/>
        </w:rPr>
      </w:pPr>
      <w:r w:rsidRPr="00137038">
        <w:rPr>
          <w:rFonts w:ascii="Times New Roman" w:eastAsia="Times New Roman" w:hAnsi="Times New Roman" w:cs="Times New Roman"/>
          <w:b/>
          <w:sz w:val="24"/>
          <w:u w:val="single"/>
          <w:lang w:eastAsia="tr-TR"/>
        </w:rPr>
        <w:t>Ulusal katkıların içeriği</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ADP bünyesinde tartışılan bu konu gelişmekte olan ülkeler, AB, ABD ve Afrika Ülkeleri arasında tutum farklılıklarına yol açmıştır. Tartışmalar temel olarak;</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numPr>
          <w:ilvl w:val="0"/>
          <w:numId w:val="14"/>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Ülkelerin (gelişmiş ve gelişmekte olan) üstlenecekleri sorumluluklara ilişkin farklılaşma, </w:t>
      </w:r>
    </w:p>
    <w:p w:rsidR="00137038" w:rsidRPr="00137038" w:rsidRDefault="00137038" w:rsidP="00137038">
      <w:pPr>
        <w:numPr>
          <w:ilvl w:val="0"/>
          <w:numId w:val="14"/>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Ulusal katkıların amacı ve düzeyi,</w:t>
      </w:r>
    </w:p>
    <w:p w:rsidR="00137038" w:rsidRPr="00137038" w:rsidRDefault="00137038" w:rsidP="00137038">
      <w:pPr>
        <w:numPr>
          <w:ilvl w:val="0"/>
          <w:numId w:val="14"/>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Gelişmekte olan ülkelere sağlanacak yardımlar ve </w:t>
      </w:r>
    </w:p>
    <w:p w:rsidR="00137038" w:rsidRPr="00137038" w:rsidRDefault="00137038" w:rsidP="00137038">
      <w:pPr>
        <w:numPr>
          <w:ilvl w:val="0"/>
          <w:numId w:val="14"/>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Uyuma yönelik faaliyetler olmak üzere beş konu üzerinde yoğunlaşmış olup bunlara ilişkin ayrıntılar bir sonraki bölümde verilmiştir.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Taraf ülkelerin vardıkları uzlaşı neticesinde “</w:t>
      </w:r>
      <w:r w:rsidRPr="00137038">
        <w:rPr>
          <w:rFonts w:ascii="Times New Roman" w:eastAsia="Times New Roman" w:hAnsi="Times New Roman" w:cs="Times New Roman"/>
          <w:i/>
          <w:sz w:val="24"/>
          <w:lang w:eastAsia="tr-TR"/>
        </w:rPr>
        <w:t>İklim Değişikliğiyle Mücadele Kapsamında Eyleme Yönelik Lima Çağrısı</w:t>
      </w:r>
      <w:r w:rsidRPr="00137038">
        <w:rPr>
          <w:rFonts w:ascii="Times New Roman" w:eastAsia="Times New Roman" w:hAnsi="Times New Roman" w:cs="Times New Roman"/>
          <w:sz w:val="24"/>
          <w:lang w:eastAsia="tr-TR"/>
        </w:rPr>
        <w:t>” başlığıyla yayınlanan kararda;</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numPr>
          <w:ilvl w:val="0"/>
          <w:numId w:val="15"/>
        </w:numPr>
        <w:spacing w:after="0" w:line="360" w:lineRule="auto"/>
        <w:ind w:left="714" w:hanging="357"/>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Bütün taraflar Sözleşme’nin (BM İklim Değişikliği Çerçeve Sözleşmesi) 2. Maddesinde ortaya konan amaç çerçevesinde ulusal katkılarını COP 21’den önce (mümkünse 2015 yılının ilk çeyreğine kadar) açıklamaya davet edilmiştir.</w:t>
      </w:r>
    </w:p>
    <w:p w:rsidR="00137038" w:rsidRPr="00137038" w:rsidRDefault="00137038" w:rsidP="00137038">
      <w:pPr>
        <w:spacing w:after="0" w:line="360" w:lineRule="auto"/>
        <w:ind w:left="720"/>
        <w:jc w:val="both"/>
        <w:rPr>
          <w:rFonts w:ascii="Times New Roman" w:eastAsia="Times New Roman" w:hAnsi="Times New Roman" w:cs="Times New Roman"/>
          <w:sz w:val="24"/>
          <w:lang w:eastAsia="tr-TR"/>
        </w:rPr>
      </w:pPr>
    </w:p>
    <w:p w:rsidR="00137038" w:rsidRPr="00137038" w:rsidRDefault="00137038" w:rsidP="00137038">
      <w:pPr>
        <w:numPr>
          <w:ilvl w:val="0"/>
          <w:numId w:val="16"/>
        </w:numPr>
        <w:spacing w:after="0" w:line="360" w:lineRule="auto"/>
        <w:ind w:left="720"/>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Söz konusu katkıların, açıklığı, şeffaflığı ve </w:t>
      </w:r>
      <w:proofErr w:type="spellStart"/>
      <w:r w:rsidRPr="00137038">
        <w:rPr>
          <w:rFonts w:ascii="Times New Roman" w:eastAsia="Times New Roman" w:hAnsi="Times New Roman" w:cs="Times New Roman"/>
          <w:sz w:val="24"/>
          <w:lang w:eastAsia="tr-TR"/>
        </w:rPr>
        <w:t>anlaşılabilirliği</w:t>
      </w:r>
      <w:proofErr w:type="spellEnd"/>
      <w:r w:rsidRPr="00137038">
        <w:rPr>
          <w:rFonts w:ascii="Times New Roman" w:eastAsia="Times New Roman" w:hAnsi="Times New Roman" w:cs="Times New Roman"/>
          <w:sz w:val="24"/>
          <w:lang w:eastAsia="tr-TR"/>
        </w:rPr>
        <w:t xml:space="preserve"> artırabilmek adına aşağıdaki hususları içerebileceği belirtilmiştir:</w:t>
      </w:r>
    </w:p>
    <w:p w:rsidR="00137038" w:rsidRPr="00137038" w:rsidRDefault="00137038" w:rsidP="00137038">
      <w:pPr>
        <w:numPr>
          <w:ilvl w:val="0"/>
          <w:numId w:val="16"/>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Referans değere ilişkin sayısal bilgi (uygun görülen şekilde </w:t>
      </w:r>
      <w:proofErr w:type="gramStart"/>
      <w:r w:rsidRPr="00137038">
        <w:rPr>
          <w:rFonts w:ascii="Times New Roman" w:eastAsia="Times New Roman" w:hAnsi="Times New Roman" w:cs="Times New Roman"/>
          <w:sz w:val="24"/>
          <w:lang w:eastAsia="tr-TR"/>
        </w:rPr>
        <w:t>baz</w:t>
      </w:r>
      <w:proofErr w:type="gramEnd"/>
      <w:r w:rsidRPr="00137038">
        <w:rPr>
          <w:rFonts w:ascii="Times New Roman" w:eastAsia="Times New Roman" w:hAnsi="Times New Roman" w:cs="Times New Roman"/>
          <w:sz w:val="24"/>
          <w:lang w:eastAsia="tr-TR"/>
        </w:rPr>
        <w:t xml:space="preserve"> yılı),</w:t>
      </w:r>
    </w:p>
    <w:p w:rsidR="00137038" w:rsidRPr="00137038" w:rsidRDefault="00137038" w:rsidP="00137038">
      <w:pPr>
        <w:numPr>
          <w:ilvl w:val="0"/>
          <w:numId w:val="16"/>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Zaman aralıkları ve/veya uygulama dönemi  </w:t>
      </w:r>
    </w:p>
    <w:p w:rsidR="00137038" w:rsidRPr="00137038" w:rsidRDefault="00137038" w:rsidP="00137038">
      <w:pPr>
        <w:numPr>
          <w:ilvl w:val="0"/>
          <w:numId w:val="16"/>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Kapsam (</w:t>
      </w:r>
      <w:proofErr w:type="spellStart"/>
      <w:r w:rsidRPr="00137038">
        <w:rPr>
          <w:rFonts w:ascii="Times New Roman" w:eastAsia="Times New Roman" w:hAnsi="Times New Roman" w:cs="Times New Roman"/>
          <w:i/>
          <w:sz w:val="24"/>
          <w:lang w:eastAsia="tr-TR"/>
        </w:rPr>
        <w:t>scope</w:t>
      </w:r>
      <w:proofErr w:type="spellEnd"/>
      <w:r w:rsidRPr="00137038">
        <w:rPr>
          <w:rFonts w:ascii="Times New Roman" w:eastAsia="Times New Roman" w:hAnsi="Times New Roman" w:cs="Times New Roman"/>
          <w:i/>
          <w:sz w:val="24"/>
          <w:lang w:eastAsia="tr-TR"/>
        </w:rPr>
        <w:t xml:space="preserve"> </w:t>
      </w:r>
      <w:proofErr w:type="spellStart"/>
      <w:r w:rsidRPr="00137038">
        <w:rPr>
          <w:rFonts w:ascii="Times New Roman" w:eastAsia="Times New Roman" w:hAnsi="Times New Roman" w:cs="Times New Roman"/>
          <w:i/>
          <w:sz w:val="24"/>
          <w:lang w:eastAsia="tr-TR"/>
        </w:rPr>
        <w:t>and</w:t>
      </w:r>
      <w:proofErr w:type="spellEnd"/>
      <w:r w:rsidRPr="00137038">
        <w:rPr>
          <w:rFonts w:ascii="Times New Roman" w:eastAsia="Times New Roman" w:hAnsi="Times New Roman" w:cs="Times New Roman"/>
          <w:i/>
          <w:sz w:val="24"/>
          <w:lang w:eastAsia="tr-TR"/>
        </w:rPr>
        <w:t xml:space="preserve"> </w:t>
      </w:r>
      <w:proofErr w:type="spellStart"/>
      <w:r w:rsidRPr="00137038">
        <w:rPr>
          <w:rFonts w:ascii="Times New Roman" w:eastAsia="Times New Roman" w:hAnsi="Times New Roman" w:cs="Times New Roman"/>
          <w:i/>
          <w:sz w:val="24"/>
          <w:lang w:eastAsia="tr-TR"/>
        </w:rPr>
        <w:t>coverage</w:t>
      </w:r>
      <w:proofErr w:type="spellEnd"/>
      <w:r w:rsidRPr="00137038">
        <w:rPr>
          <w:rFonts w:ascii="Times New Roman" w:eastAsia="Times New Roman" w:hAnsi="Times New Roman" w:cs="Times New Roman"/>
          <w:sz w:val="24"/>
          <w:lang w:eastAsia="tr-TR"/>
        </w:rPr>
        <w:t xml:space="preserve">) </w:t>
      </w:r>
    </w:p>
    <w:p w:rsidR="00137038" w:rsidRPr="00137038" w:rsidRDefault="00137038" w:rsidP="00137038">
      <w:pPr>
        <w:numPr>
          <w:ilvl w:val="0"/>
          <w:numId w:val="16"/>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Planlama süreçleri </w:t>
      </w:r>
    </w:p>
    <w:p w:rsidR="00137038" w:rsidRPr="00137038" w:rsidRDefault="00137038" w:rsidP="00137038">
      <w:pPr>
        <w:numPr>
          <w:ilvl w:val="0"/>
          <w:numId w:val="16"/>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Sera gazı </w:t>
      </w:r>
      <w:proofErr w:type="gramStart"/>
      <w:r w:rsidRPr="00137038">
        <w:rPr>
          <w:rFonts w:ascii="Times New Roman" w:eastAsia="Times New Roman" w:hAnsi="Times New Roman" w:cs="Times New Roman"/>
          <w:sz w:val="24"/>
          <w:lang w:eastAsia="tr-TR"/>
        </w:rPr>
        <w:t>emisyonlarına</w:t>
      </w:r>
      <w:proofErr w:type="gramEnd"/>
      <w:r w:rsidRPr="00137038">
        <w:rPr>
          <w:rFonts w:ascii="Times New Roman" w:eastAsia="Times New Roman" w:hAnsi="Times New Roman" w:cs="Times New Roman"/>
          <w:sz w:val="24"/>
          <w:lang w:eastAsia="tr-TR"/>
        </w:rPr>
        <w:t xml:space="preserve"> ilişkin tahmin ve hesaplamalara yönelik metodolojik yaklaşımlar ve varsayımlar </w:t>
      </w:r>
    </w:p>
    <w:p w:rsidR="00137038" w:rsidRPr="00137038" w:rsidRDefault="00137038" w:rsidP="00137038">
      <w:pPr>
        <w:numPr>
          <w:ilvl w:val="0"/>
          <w:numId w:val="16"/>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lastRenderedPageBreak/>
        <w:t xml:space="preserve">Taraf ülkenin ortaya koyacağı katkının ulusal şartları çerçevesinde ne ölçüde adil ve iddialı olduğuna dair değerlendirme </w:t>
      </w:r>
    </w:p>
    <w:p w:rsidR="00137038" w:rsidRPr="00137038" w:rsidRDefault="00137038" w:rsidP="00137038">
      <w:pPr>
        <w:numPr>
          <w:ilvl w:val="0"/>
          <w:numId w:val="16"/>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Ulusal katkının Sözleşme’nin 2. Maddesi’ne nasıl hizmet edeceğine ilişkin değerlendirme</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numPr>
          <w:ilvl w:val="0"/>
          <w:numId w:val="17"/>
        </w:numPr>
        <w:spacing w:after="0" w:line="360" w:lineRule="auto"/>
        <w:ind w:left="720"/>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Gelişmiş ülkeler, gelişmekte olan ülkelere (başta iklim değişikliğinin olumsuz etkilerine karşı zayıf konumda olanlar olmak üzere), </w:t>
      </w:r>
      <w:proofErr w:type="gramStart"/>
      <w:r w:rsidRPr="00137038">
        <w:rPr>
          <w:rFonts w:ascii="Times New Roman" w:eastAsia="Times New Roman" w:hAnsi="Times New Roman" w:cs="Times New Roman"/>
          <w:sz w:val="24"/>
          <w:lang w:eastAsia="tr-TR"/>
        </w:rPr>
        <w:t>emisyon</w:t>
      </w:r>
      <w:proofErr w:type="gram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azaltımı</w:t>
      </w:r>
      <w:proofErr w:type="spellEnd"/>
      <w:r w:rsidRPr="00137038">
        <w:rPr>
          <w:rFonts w:ascii="Times New Roman" w:eastAsia="Times New Roman" w:hAnsi="Times New Roman" w:cs="Times New Roman"/>
          <w:sz w:val="24"/>
          <w:lang w:eastAsia="tr-TR"/>
        </w:rPr>
        <w:t xml:space="preserve"> ve uyum alanında iddialı adımlar atabilmeleri için, finansal destek sağlamaya çağrılmış,</w:t>
      </w:r>
    </w:p>
    <w:p w:rsidR="00137038" w:rsidRPr="00137038" w:rsidRDefault="00137038" w:rsidP="00137038">
      <w:pPr>
        <w:spacing w:after="0" w:line="360" w:lineRule="auto"/>
        <w:ind w:left="720"/>
        <w:jc w:val="both"/>
        <w:rPr>
          <w:rFonts w:ascii="Times New Roman" w:eastAsia="Times New Roman" w:hAnsi="Times New Roman" w:cs="Times New Roman"/>
          <w:sz w:val="24"/>
          <w:lang w:eastAsia="tr-TR"/>
        </w:rPr>
      </w:pPr>
    </w:p>
    <w:p w:rsidR="00137038" w:rsidRPr="00137038" w:rsidRDefault="00137038" w:rsidP="00137038">
      <w:pPr>
        <w:numPr>
          <w:ilvl w:val="0"/>
          <w:numId w:val="18"/>
        </w:numPr>
        <w:spacing w:after="0" w:line="360" w:lineRule="auto"/>
        <w:ind w:left="720" w:hanging="360"/>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Gelişmiş ülkelerin ve mali mekanizma altındaki kurumların, ulusal katkıların hazırlanması ve bildirilmesi konusunda ihtiyaç duyan ülkelere yardım sağlamasına ilişkin çağrı yapılmış,</w:t>
      </w:r>
    </w:p>
    <w:p w:rsidR="00137038" w:rsidRPr="00137038" w:rsidRDefault="00137038" w:rsidP="00137038">
      <w:pPr>
        <w:spacing w:after="0" w:line="360" w:lineRule="auto"/>
        <w:ind w:left="720"/>
        <w:jc w:val="both"/>
        <w:rPr>
          <w:rFonts w:ascii="Times New Roman" w:eastAsia="Times New Roman" w:hAnsi="Times New Roman" w:cs="Times New Roman"/>
          <w:sz w:val="24"/>
          <w:lang w:eastAsia="tr-TR"/>
        </w:rPr>
      </w:pPr>
    </w:p>
    <w:p w:rsidR="00137038" w:rsidRPr="00137038" w:rsidRDefault="00137038" w:rsidP="00137038">
      <w:pPr>
        <w:numPr>
          <w:ilvl w:val="0"/>
          <w:numId w:val="19"/>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BMİDÇS </w:t>
      </w:r>
      <w:proofErr w:type="spellStart"/>
      <w:r w:rsidRPr="00137038">
        <w:rPr>
          <w:rFonts w:ascii="Times New Roman" w:eastAsia="Times New Roman" w:hAnsi="Times New Roman" w:cs="Times New Roman"/>
          <w:sz w:val="24"/>
          <w:lang w:eastAsia="tr-TR"/>
        </w:rPr>
        <w:t>Sekretaryası’na</w:t>
      </w:r>
      <w:proofErr w:type="spellEnd"/>
      <w:r w:rsidRPr="00137038">
        <w:rPr>
          <w:rFonts w:ascii="Times New Roman" w:eastAsia="Times New Roman" w:hAnsi="Times New Roman" w:cs="Times New Roman"/>
          <w:sz w:val="24"/>
          <w:lang w:eastAsia="tr-TR"/>
        </w:rPr>
        <w:t xml:space="preserve"> </w:t>
      </w:r>
    </w:p>
    <w:p w:rsidR="00137038" w:rsidRPr="00137038" w:rsidRDefault="00137038" w:rsidP="00137038">
      <w:pPr>
        <w:spacing w:after="0" w:line="360" w:lineRule="auto"/>
        <w:ind w:left="720"/>
        <w:jc w:val="both"/>
        <w:rPr>
          <w:rFonts w:ascii="Times New Roman" w:eastAsia="Times New Roman" w:hAnsi="Times New Roman" w:cs="Times New Roman"/>
          <w:sz w:val="24"/>
          <w:lang w:eastAsia="tr-TR"/>
        </w:rPr>
      </w:pPr>
    </w:p>
    <w:p w:rsidR="00137038" w:rsidRPr="00137038" w:rsidRDefault="00137038" w:rsidP="00137038">
      <w:pPr>
        <w:numPr>
          <w:ilvl w:val="0"/>
          <w:numId w:val="20"/>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Bildirilen ulusal katkıları web sitesinde yayınlaması ve</w:t>
      </w:r>
    </w:p>
    <w:p w:rsidR="00137038" w:rsidRPr="00137038" w:rsidRDefault="00137038" w:rsidP="00137038">
      <w:pPr>
        <w:numPr>
          <w:ilvl w:val="0"/>
          <w:numId w:val="20"/>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Ulusal katkıların toplam etkisini ortaya koyan bir raporu 1 Kasım 2015 tarihine kadar yayınlaması yönünde talepte bulunulmuştur</w:t>
      </w:r>
      <w:r w:rsidRPr="00137038">
        <w:rPr>
          <w:rFonts w:ascii="Times New Roman" w:eastAsia="Times New Roman" w:hAnsi="Times New Roman" w:cs="Times New Roman"/>
          <w:sz w:val="24"/>
          <w:vertAlign w:val="superscript"/>
          <w:lang w:eastAsia="tr-TR"/>
        </w:rPr>
        <w:footnoteReference w:id="1"/>
      </w:r>
      <w:r w:rsidRPr="00137038">
        <w:rPr>
          <w:rFonts w:ascii="Times New Roman" w:eastAsia="Times New Roman" w:hAnsi="Times New Roman" w:cs="Times New Roman"/>
          <w:sz w:val="24"/>
          <w:lang w:eastAsia="tr-TR"/>
        </w:rPr>
        <w:t>.</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Bahse konu karar taraf ülkelerin </w:t>
      </w:r>
      <w:proofErr w:type="gramStart"/>
      <w:r w:rsidRPr="00137038">
        <w:rPr>
          <w:rFonts w:ascii="Times New Roman" w:eastAsia="Times New Roman" w:hAnsi="Times New Roman" w:cs="Times New Roman"/>
          <w:sz w:val="24"/>
          <w:lang w:eastAsia="tr-TR"/>
        </w:rPr>
        <w:t>emisyon</w:t>
      </w:r>
      <w:proofErr w:type="gram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azaltımına</w:t>
      </w:r>
      <w:proofErr w:type="spellEnd"/>
      <w:r w:rsidRPr="00137038">
        <w:rPr>
          <w:rFonts w:ascii="Times New Roman" w:eastAsia="Times New Roman" w:hAnsi="Times New Roman" w:cs="Times New Roman"/>
          <w:sz w:val="24"/>
          <w:lang w:eastAsia="tr-TR"/>
        </w:rPr>
        <w:t xml:space="preserve"> yönelik alacakları sorumluluklara ilişkin olarak geniş ve esnek bir çerçeve ortaya koymaktadır. Kararda, yapılacak katkıların içeriği ve açıklanacağı tarih ülkelerin kendi koşullarına bırakılmakta, öte yandan bu katkıların iklim değişikliğiyle mücadelede yeterliliğini değerlendirmek üzere BMİDÇS </w:t>
      </w:r>
      <w:proofErr w:type="spellStart"/>
      <w:r w:rsidRPr="00137038">
        <w:rPr>
          <w:rFonts w:ascii="Times New Roman" w:eastAsia="Times New Roman" w:hAnsi="Times New Roman" w:cs="Times New Roman"/>
          <w:sz w:val="24"/>
          <w:lang w:eastAsia="tr-TR"/>
        </w:rPr>
        <w:t>Sekretaryası’na</w:t>
      </w:r>
      <w:proofErr w:type="spellEnd"/>
      <w:r w:rsidRPr="00137038">
        <w:rPr>
          <w:rFonts w:ascii="Times New Roman" w:eastAsia="Times New Roman" w:hAnsi="Times New Roman" w:cs="Times New Roman"/>
          <w:sz w:val="24"/>
          <w:lang w:eastAsia="tr-TR"/>
        </w:rPr>
        <w:t xml:space="preserve"> görev vermektedir. Yapılan katkıların adillik düzeyini ülkelerin kendisine bırakan bu esnek sistem Paris’te imzalanması beklenen 2020 sonrası iklim değişikliği anlaşmasının yapısına ilişkin ipuçları da vermektedir.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b/>
          <w:sz w:val="24"/>
          <w:u w:val="single"/>
          <w:lang w:eastAsia="tr-TR"/>
        </w:rPr>
      </w:pPr>
      <w:r w:rsidRPr="00137038">
        <w:rPr>
          <w:rFonts w:ascii="Times New Roman" w:eastAsia="Times New Roman" w:hAnsi="Times New Roman" w:cs="Times New Roman"/>
          <w:b/>
          <w:sz w:val="24"/>
          <w:u w:val="single"/>
          <w:lang w:eastAsia="tr-TR"/>
        </w:rPr>
        <w:t>2020 sonrasına yönelik anlaşmaya ilişkin taslak müzakere metnine yönelik gelişmeler</w:t>
      </w:r>
    </w:p>
    <w:p w:rsidR="00137038" w:rsidRPr="00137038" w:rsidRDefault="00137038" w:rsidP="00137038">
      <w:pPr>
        <w:spacing w:after="0" w:line="360" w:lineRule="auto"/>
        <w:jc w:val="both"/>
        <w:rPr>
          <w:rFonts w:ascii="Times New Roman" w:eastAsia="Times New Roman" w:hAnsi="Times New Roman" w:cs="Times New Roman"/>
          <w:b/>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Taslak müzakere metnine yönelik tartışmalar genel olarak anlaşmanın temel prensipleri, amacı, taraf ülkelerin alacağı sorumluluklara ilişkin farklılaşma ve şeffaflık konuları üzerinde yoğunlaşmıştır. Bir sonraki bölümde ayrıntılarına değinilecek olan bu tartışmalar neticesinde taraf ülkeler arasındaki keskin tutum farklılıkları sonucu bir uzlaşıya varılamamış ve neredeyse her maddesine ilişkin çok sayıda seçeneği (taraf ülkelerce sunulan önerileri) içeren bir metin “</w:t>
      </w:r>
      <w:r w:rsidRPr="00137038">
        <w:rPr>
          <w:rFonts w:ascii="Times New Roman" w:eastAsia="Times New Roman" w:hAnsi="Times New Roman" w:cs="Times New Roman"/>
          <w:i/>
          <w:sz w:val="24"/>
          <w:lang w:eastAsia="tr-TR"/>
        </w:rPr>
        <w:t xml:space="preserve">İklim Değişikliğiyle Mücadele </w:t>
      </w:r>
      <w:r w:rsidRPr="00137038">
        <w:rPr>
          <w:rFonts w:ascii="Times New Roman" w:eastAsia="Times New Roman" w:hAnsi="Times New Roman" w:cs="Times New Roman"/>
          <w:i/>
          <w:sz w:val="24"/>
          <w:lang w:eastAsia="tr-TR"/>
        </w:rPr>
        <w:lastRenderedPageBreak/>
        <w:t>Kapsamında Eyleme Yönelik Lima Çağrısı</w:t>
      </w:r>
      <w:r w:rsidRPr="00137038">
        <w:rPr>
          <w:rFonts w:ascii="Times New Roman" w:eastAsia="Times New Roman" w:hAnsi="Times New Roman" w:cs="Times New Roman"/>
          <w:sz w:val="24"/>
          <w:lang w:eastAsia="tr-TR"/>
        </w:rPr>
        <w:t xml:space="preserve">” başlıklı kararın ekine konulmuştur. Karar’da ayrıca, </w:t>
      </w:r>
      <w:proofErr w:type="spellStart"/>
      <w:r w:rsidRPr="00137038">
        <w:rPr>
          <w:rFonts w:ascii="Times New Roman" w:eastAsia="Times New Roman" w:hAnsi="Times New Roman" w:cs="Times New Roman"/>
          <w:sz w:val="24"/>
          <w:lang w:eastAsia="tr-TR"/>
        </w:rPr>
        <w:t>ADP’nin</w:t>
      </w:r>
      <w:proofErr w:type="spellEnd"/>
      <w:r w:rsidRPr="00137038">
        <w:rPr>
          <w:rFonts w:ascii="Times New Roman" w:eastAsia="Times New Roman" w:hAnsi="Times New Roman" w:cs="Times New Roman"/>
          <w:sz w:val="24"/>
          <w:lang w:eastAsia="tr-TR"/>
        </w:rPr>
        <w:t xml:space="preserve"> müzakere metnini 2015 yılı Mayıs ayında tamamlamak üzere çalışmalarına hız vereceği ifade edilmiştir. </w:t>
      </w:r>
    </w:p>
    <w:p w:rsidR="00137038" w:rsidRPr="00137038" w:rsidRDefault="00137038" w:rsidP="00137038">
      <w:pPr>
        <w:spacing w:after="0" w:line="360" w:lineRule="auto"/>
        <w:jc w:val="both"/>
        <w:rPr>
          <w:rFonts w:ascii="Times New Roman" w:eastAsia="Times New Roman" w:hAnsi="Times New Roman" w:cs="Times New Roman"/>
          <w:sz w:val="24"/>
          <w:szCs w:val="24"/>
        </w:rPr>
      </w:pPr>
      <w:r w:rsidRPr="00137038">
        <w:rPr>
          <w:rFonts w:ascii="Times New Roman" w:eastAsia="Times New Roman" w:hAnsi="Times New Roman" w:cs="Times New Roman"/>
          <w:sz w:val="24"/>
          <w:szCs w:val="24"/>
        </w:rPr>
        <w:t>Bahse konu metin hali hazırda aşağıda sıralanan bölümleri içermektedir:</w:t>
      </w:r>
    </w:p>
    <w:p w:rsidR="00137038" w:rsidRPr="00137038" w:rsidRDefault="00137038" w:rsidP="00137038">
      <w:pPr>
        <w:numPr>
          <w:ilvl w:val="0"/>
          <w:numId w:val="6"/>
        </w:numPr>
        <w:spacing w:after="0" w:line="360" w:lineRule="auto"/>
        <w:contextualSpacing/>
        <w:jc w:val="both"/>
        <w:rPr>
          <w:rFonts w:ascii="Times New Roman" w:eastAsia="Times New Roman" w:hAnsi="Times New Roman" w:cs="Times New Roman"/>
          <w:sz w:val="24"/>
          <w:szCs w:val="24"/>
        </w:rPr>
      </w:pPr>
      <w:r w:rsidRPr="00137038">
        <w:rPr>
          <w:rFonts w:ascii="Times New Roman" w:eastAsia="Times New Roman" w:hAnsi="Times New Roman" w:cs="Times New Roman"/>
          <w:b/>
          <w:sz w:val="24"/>
          <w:szCs w:val="24"/>
        </w:rPr>
        <w:t>Genel amaç:</w:t>
      </w:r>
      <w:r w:rsidRPr="00137038">
        <w:rPr>
          <w:rFonts w:ascii="Times New Roman" w:eastAsia="Times New Roman" w:hAnsi="Times New Roman" w:cs="Times New Roman"/>
          <w:sz w:val="24"/>
          <w:szCs w:val="24"/>
        </w:rPr>
        <w:t xml:space="preserve"> İklim değişikliğiyle mücadeleye yönelik olarak anlaşma kapsamında varılması öngörülen amacı tanımlamaktadır.</w:t>
      </w:r>
    </w:p>
    <w:p w:rsidR="00137038" w:rsidRPr="00137038" w:rsidRDefault="00137038" w:rsidP="00137038">
      <w:pPr>
        <w:numPr>
          <w:ilvl w:val="0"/>
          <w:numId w:val="6"/>
        </w:numPr>
        <w:spacing w:after="0" w:line="360" w:lineRule="auto"/>
        <w:contextualSpacing/>
        <w:jc w:val="both"/>
        <w:rPr>
          <w:rFonts w:ascii="Times New Roman" w:eastAsia="Times New Roman" w:hAnsi="Times New Roman" w:cs="Times New Roman"/>
          <w:b/>
          <w:sz w:val="24"/>
          <w:szCs w:val="24"/>
        </w:rPr>
      </w:pPr>
      <w:proofErr w:type="spellStart"/>
      <w:r w:rsidRPr="00137038">
        <w:rPr>
          <w:rFonts w:ascii="Times New Roman" w:eastAsia="Times New Roman" w:hAnsi="Times New Roman" w:cs="Times New Roman"/>
          <w:b/>
          <w:sz w:val="24"/>
          <w:szCs w:val="24"/>
        </w:rPr>
        <w:t>Azaltım</w:t>
      </w:r>
      <w:proofErr w:type="spellEnd"/>
      <w:r w:rsidRPr="00137038">
        <w:rPr>
          <w:rFonts w:ascii="Times New Roman" w:eastAsia="Times New Roman" w:hAnsi="Times New Roman" w:cs="Times New Roman"/>
          <w:b/>
          <w:sz w:val="24"/>
          <w:szCs w:val="24"/>
        </w:rPr>
        <w:t xml:space="preserve">: </w:t>
      </w:r>
      <w:r w:rsidRPr="00137038">
        <w:rPr>
          <w:rFonts w:ascii="Times New Roman" w:eastAsia="Times New Roman" w:hAnsi="Times New Roman" w:cs="Times New Roman"/>
          <w:sz w:val="24"/>
          <w:szCs w:val="24"/>
        </w:rPr>
        <w:t xml:space="preserve">Sera gazı </w:t>
      </w:r>
      <w:proofErr w:type="gramStart"/>
      <w:r w:rsidRPr="00137038">
        <w:rPr>
          <w:rFonts w:ascii="Times New Roman" w:eastAsia="Times New Roman" w:hAnsi="Times New Roman" w:cs="Times New Roman"/>
          <w:sz w:val="24"/>
          <w:szCs w:val="24"/>
        </w:rPr>
        <w:t>emisyonlarının</w:t>
      </w:r>
      <w:proofErr w:type="gramEnd"/>
      <w:r w:rsidRPr="00137038">
        <w:rPr>
          <w:rFonts w:ascii="Times New Roman" w:eastAsia="Times New Roman" w:hAnsi="Times New Roman" w:cs="Times New Roman"/>
          <w:sz w:val="24"/>
          <w:szCs w:val="24"/>
        </w:rPr>
        <w:t xml:space="preserve"> azaltılmasına yönelik olarak alınacak tedbirlerin boyutunu (taahhüt / katkı vb.) içermektedir.</w:t>
      </w:r>
      <w:r w:rsidRPr="00137038">
        <w:rPr>
          <w:rFonts w:ascii="Times New Roman" w:eastAsia="Times New Roman" w:hAnsi="Times New Roman" w:cs="Times New Roman"/>
          <w:b/>
          <w:sz w:val="24"/>
          <w:szCs w:val="24"/>
        </w:rPr>
        <w:t xml:space="preserve"> </w:t>
      </w:r>
    </w:p>
    <w:p w:rsidR="00137038" w:rsidRPr="00137038" w:rsidRDefault="00137038" w:rsidP="00137038">
      <w:pPr>
        <w:numPr>
          <w:ilvl w:val="0"/>
          <w:numId w:val="6"/>
        </w:numPr>
        <w:spacing w:after="0" w:line="360" w:lineRule="auto"/>
        <w:contextualSpacing/>
        <w:jc w:val="both"/>
        <w:rPr>
          <w:rFonts w:ascii="Times New Roman" w:eastAsia="Times New Roman" w:hAnsi="Times New Roman" w:cs="Times New Roman"/>
          <w:b/>
          <w:sz w:val="24"/>
          <w:szCs w:val="24"/>
        </w:rPr>
      </w:pPr>
      <w:r w:rsidRPr="00137038">
        <w:rPr>
          <w:rFonts w:ascii="Times New Roman" w:eastAsia="Times New Roman" w:hAnsi="Times New Roman" w:cs="Times New Roman"/>
          <w:b/>
          <w:sz w:val="24"/>
          <w:szCs w:val="24"/>
        </w:rPr>
        <w:t xml:space="preserve">Uyum ve kayıp ve zararlar: </w:t>
      </w:r>
      <w:r w:rsidRPr="00137038">
        <w:rPr>
          <w:rFonts w:ascii="Times New Roman" w:eastAsia="Times New Roman" w:hAnsi="Times New Roman" w:cs="Times New Roman"/>
          <w:sz w:val="24"/>
          <w:szCs w:val="24"/>
        </w:rPr>
        <w:t>İklim değişikliğinin etkilerine uyuma yönelik tedbirleri ve bunun yanı sıra iklim değişikliğinin etkileri sonucu ortaya çıkan kayıp ve zararlara ilişkin hususları içermektedir.</w:t>
      </w:r>
      <w:r w:rsidRPr="00137038">
        <w:rPr>
          <w:rFonts w:ascii="Times New Roman" w:eastAsia="Times New Roman" w:hAnsi="Times New Roman" w:cs="Times New Roman"/>
          <w:b/>
          <w:sz w:val="24"/>
          <w:szCs w:val="24"/>
        </w:rPr>
        <w:t xml:space="preserve"> </w:t>
      </w:r>
    </w:p>
    <w:p w:rsidR="00137038" w:rsidRPr="00137038" w:rsidRDefault="00137038" w:rsidP="00137038">
      <w:pPr>
        <w:numPr>
          <w:ilvl w:val="0"/>
          <w:numId w:val="6"/>
        </w:numPr>
        <w:spacing w:after="0" w:line="360" w:lineRule="auto"/>
        <w:contextualSpacing/>
        <w:jc w:val="both"/>
        <w:rPr>
          <w:rFonts w:ascii="Times New Roman" w:eastAsia="Times New Roman" w:hAnsi="Times New Roman" w:cs="Times New Roman"/>
          <w:b/>
          <w:sz w:val="24"/>
          <w:szCs w:val="24"/>
        </w:rPr>
      </w:pPr>
      <w:r w:rsidRPr="00137038">
        <w:rPr>
          <w:rFonts w:ascii="Times New Roman" w:eastAsia="Times New Roman" w:hAnsi="Times New Roman" w:cs="Times New Roman"/>
          <w:b/>
          <w:sz w:val="24"/>
          <w:szCs w:val="24"/>
        </w:rPr>
        <w:t xml:space="preserve">Finansman: </w:t>
      </w:r>
      <w:r w:rsidRPr="00137038">
        <w:rPr>
          <w:rFonts w:ascii="Times New Roman" w:eastAsia="Times New Roman" w:hAnsi="Times New Roman" w:cs="Times New Roman"/>
          <w:sz w:val="24"/>
          <w:szCs w:val="24"/>
        </w:rPr>
        <w:t>Gelişmekte olan ülkelere ve en az gelişmiş ülkelere sağlanacak yardımları içermektedir.</w:t>
      </w:r>
    </w:p>
    <w:p w:rsidR="00137038" w:rsidRPr="00137038" w:rsidRDefault="00137038" w:rsidP="00137038">
      <w:pPr>
        <w:numPr>
          <w:ilvl w:val="0"/>
          <w:numId w:val="6"/>
        </w:numPr>
        <w:spacing w:after="0" w:line="360" w:lineRule="auto"/>
        <w:contextualSpacing/>
        <w:jc w:val="both"/>
        <w:rPr>
          <w:rFonts w:ascii="Times New Roman" w:eastAsia="Times New Roman" w:hAnsi="Times New Roman" w:cs="Times New Roman"/>
          <w:b/>
          <w:sz w:val="24"/>
          <w:szCs w:val="24"/>
        </w:rPr>
      </w:pPr>
      <w:r w:rsidRPr="00137038">
        <w:rPr>
          <w:rFonts w:ascii="Times New Roman" w:eastAsia="Times New Roman" w:hAnsi="Times New Roman" w:cs="Times New Roman"/>
          <w:b/>
          <w:sz w:val="24"/>
          <w:szCs w:val="24"/>
        </w:rPr>
        <w:t xml:space="preserve">Teknoloji geliştirme ve transferi: </w:t>
      </w:r>
      <w:r w:rsidRPr="00137038">
        <w:rPr>
          <w:rFonts w:ascii="Times New Roman" w:eastAsia="Times New Roman" w:hAnsi="Times New Roman" w:cs="Times New Roman"/>
          <w:sz w:val="24"/>
          <w:szCs w:val="24"/>
        </w:rPr>
        <w:t>Düşük karbon teknolojilerinin geliştirilmesi, yaygınlaştırılması ve gelişmekte olan ve en az gelişmiş ülkelere transferine yönelik hususları içermektedir.</w:t>
      </w:r>
    </w:p>
    <w:p w:rsidR="00137038" w:rsidRPr="00137038" w:rsidRDefault="00137038" w:rsidP="00137038">
      <w:pPr>
        <w:numPr>
          <w:ilvl w:val="0"/>
          <w:numId w:val="6"/>
        </w:numPr>
        <w:spacing w:after="0" w:line="360" w:lineRule="auto"/>
        <w:contextualSpacing/>
        <w:jc w:val="both"/>
        <w:rPr>
          <w:rFonts w:ascii="Times New Roman" w:eastAsia="Times New Roman" w:hAnsi="Times New Roman" w:cs="Times New Roman"/>
          <w:b/>
          <w:sz w:val="24"/>
          <w:szCs w:val="24"/>
        </w:rPr>
      </w:pPr>
      <w:r w:rsidRPr="00137038">
        <w:rPr>
          <w:rFonts w:ascii="Times New Roman" w:eastAsia="Times New Roman" w:hAnsi="Times New Roman" w:cs="Times New Roman"/>
          <w:b/>
          <w:sz w:val="24"/>
          <w:szCs w:val="24"/>
        </w:rPr>
        <w:t xml:space="preserve">Kapasite geliştirme: </w:t>
      </w:r>
      <w:r w:rsidRPr="00137038">
        <w:rPr>
          <w:rFonts w:ascii="Times New Roman" w:eastAsia="Times New Roman" w:hAnsi="Times New Roman" w:cs="Times New Roman"/>
          <w:sz w:val="24"/>
          <w:szCs w:val="24"/>
        </w:rPr>
        <w:t xml:space="preserve">Gelişmekte olan ülkelerde kapasite gelişimine yönelik adımları içermektedir. </w:t>
      </w:r>
    </w:p>
    <w:p w:rsidR="00137038" w:rsidRPr="00137038" w:rsidRDefault="00137038" w:rsidP="00137038">
      <w:pPr>
        <w:numPr>
          <w:ilvl w:val="0"/>
          <w:numId w:val="6"/>
        </w:numPr>
        <w:spacing w:after="0" w:line="360" w:lineRule="auto"/>
        <w:contextualSpacing/>
        <w:jc w:val="both"/>
        <w:rPr>
          <w:rFonts w:ascii="Times New Roman" w:eastAsia="Times New Roman" w:hAnsi="Times New Roman" w:cs="Times New Roman"/>
          <w:b/>
          <w:sz w:val="24"/>
          <w:szCs w:val="24"/>
        </w:rPr>
      </w:pPr>
      <w:r w:rsidRPr="00137038">
        <w:rPr>
          <w:rFonts w:ascii="Times New Roman" w:eastAsia="Times New Roman" w:hAnsi="Times New Roman" w:cs="Times New Roman"/>
          <w:b/>
          <w:sz w:val="24"/>
          <w:szCs w:val="24"/>
        </w:rPr>
        <w:t xml:space="preserve">Şeffaflık: </w:t>
      </w:r>
      <w:r w:rsidRPr="00137038">
        <w:rPr>
          <w:rFonts w:ascii="Times New Roman" w:eastAsia="Times New Roman" w:hAnsi="Times New Roman" w:cs="Times New Roman"/>
          <w:sz w:val="24"/>
          <w:szCs w:val="24"/>
        </w:rPr>
        <w:t xml:space="preserve">Sera gazı </w:t>
      </w:r>
      <w:proofErr w:type="gramStart"/>
      <w:r w:rsidRPr="00137038">
        <w:rPr>
          <w:rFonts w:ascii="Times New Roman" w:eastAsia="Times New Roman" w:hAnsi="Times New Roman" w:cs="Times New Roman"/>
          <w:sz w:val="24"/>
          <w:szCs w:val="24"/>
        </w:rPr>
        <w:t>emisyonlarının</w:t>
      </w:r>
      <w:proofErr w:type="gramEnd"/>
      <w:r w:rsidRPr="00137038">
        <w:rPr>
          <w:rFonts w:ascii="Times New Roman" w:eastAsia="Times New Roman" w:hAnsi="Times New Roman" w:cs="Times New Roman"/>
          <w:sz w:val="24"/>
          <w:szCs w:val="24"/>
        </w:rPr>
        <w:t xml:space="preserve"> azaltılmasına yönelik çabaların değerlendirilmesine ve sağlanan yardımların kullanımına ilişkin hususları içermektedir.</w:t>
      </w:r>
      <w:r w:rsidRPr="00137038">
        <w:rPr>
          <w:rFonts w:ascii="Times New Roman" w:eastAsia="Times New Roman" w:hAnsi="Times New Roman" w:cs="Times New Roman"/>
          <w:b/>
          <w:sz w:val="24"/>
          <w:szCs w:val="24"/>
        </w:rPr>
        <w:t xml:space="preserve"> </w:t>
      </w:r>
    </w:p>
    <w:p w:rsidR="00137038" w:rsidRPr="00137038" w:rsidRDefault="00137038" w:rsidP="00137038">
      <w:pPr>
        <w:numPr>
          <w:ilvl w:val="0"/>
          <w:numId w:val="6"/>
        </w:numPr>
        <w:spacing w:after="0" w:line="360" w:lineRule="auto"/>
        <w:contextualSpacing/>
        <w:jc w:val="both"/>
        <w:rPr>
          <w:rFonts w:ascii="Times New Roman" w:eastAsia="Times New Roman" w:hAnsi="Times New Roman" w:cs="Times New Roman"/>
          <w:b/>
          <w:sz w:val="24"/>
          <w:szCs w:val="24"/>
        </w:rPr>
      </w:pPr>
      <w:r w:rsidRPr="00137038">
        <w:rPr>
          <w:rFonts w:ascii="Times New Roman" w:eastAsia="Times New Roman" w:hAnsi="Times New Roman" w:cs="Times New Roman"/>
          <w:b/>
          <w:sz w:val="24"/>
          <w:szCs w:val="24"/>
        </w:rPr>
        <w:t xml:space="preserve">Zamanlama: </w:t>
      </w:r>
      <w:r w:rsidRPr="00137038">
        <w:rPr>
          <w:rFonts w:ascii="Times New Roman" w:eastAsia="Times New Roman" w:hAnsi="Times New Roman" w:cs="Times New Roman"/>
          <w:sz w:val="24"/>
          <w:szCs w:val="24"/>
        </w:rPr>
        <w:t xml:space="preserve">Emisyon </w:t>
      </w:r>
      <w:proofErr w:type="spellStart"/>
      <w:r w:rsidRPr="00137038">
        <w:rPr>
          <w:rFonts w:ascii="Times New Roman" w:eastAsia="Times New Roman" w:hAnsi="Times New Roman" w:cs="Times New Roman"/>
          <w:sz w:val="24"/>
          <w:szCs w:val="24"/>
        </w:rPr>
        <w:t>azaltımına</w:t>
      </w:r>
      <w:proofErr w:type="spellEnd"/>
      <w:r w:rsidRPr="00137038">
        <w:rPr>
          <w:rFonts w:ascii="Times New Roman" w:eastAsia="Times New Roman" w:hAnsi="Times New Roman" w:cs="Times New Roman"/>
          <w:sz w:val="24"/>
          <w:szCs w:val="24"/>
        </w:rPr>
        <w:t xml:space="preserve"> yönelik taahhüt/ katkı vb. bildirimlerin uygulanmasına yönelik zaman aralıklarını içermektedir.</w:t>
      </w:r>
    </w:p>
    <w:p w:rsidR="00137038" w:rsidRPr="00137038" w:rsidRDefault="00137038" w:rsidP="00137038">
      <w:pPr>
        <w:numPr>
          <w:ilvl w:val="0"/>
          <w:numId w:val="6"/>
        </w:numPr>
        <w:spacing w:after="0" w:line="360" w:lineRule="auto"/>
        <w:contextualSpacing/>
        <w:jc w:val="both"/>
        <w:rPr>
          <w:rFonts w:ascii="Times New Roman" w:eastAsia="Times New Roman" w:hAnsi="Times New Roman" w:cs="Times New Roman"/>
          <w:b/>
          <w:sz w:val="24"/>
          <w:szCs w:val="24"/>
        </w:rPr>
      </w:pPr>
      <w:r w:rsidRPr="00137038">
        <w:rPr>
          <w:rFonts w:ascii="Times New Roman" w:eastAsia="Times New Roman" w:hAnsi="Times New Roman" w:cs="Times New Roman"/>
          <w:b/>
          <w:sz w:val="24"/>
          <w:szCs w:val="24"/>
        </w:rPr>
        <w:t xml:space="preserve">Uygulamaya ilişkin hususlar: </w:t>
      </w:r>
      <w:r w:rsidRPr="00137038">
        <w:rPr>
          <w:rFonts w:ascii="Times New Roman" w:eastAsia="Times New Roman" w:hAnsi="Times New Roman" w:cs="Times New Roman"/>
          <w:sz w:val="24"/>
          <w:szCs w:val="24"/>
        </w:rPr>
        <w:t>Tarafların anlaşmaya uyumunun teminine ilişkin hususları içermektedir.</w:t>
      </w:r>
    </w:p>
    <w:p w:rsidR="00137038" w:rsidRPr="00137038" w:rsidRDefault="00137038" w:rsidP="00137038">
      <w:pPr>
        <w:numPr>
          <w:ilvl w:val="0"/>
          <w:numId w:val="6"/>
        </w:numPr>
        <w:spacing w:after="0" w:line="360" w:lineRule="auto"/>
        <w:contextualSpacing/>
        <w:jc w:val="both"/>
        <w:rPr>
          <w:rFonts w:ascii="Times New Roman" w:eastAsia="Times New Roman" w:hAnsi="Times New Roman" w:cs="Times New Roman"/>
          <w:sz w:val="24"/>
          <w:szCs w:val="24"/>
        </w:rPr>
      </w:pPr>
      <w:r w:rsidRPr="00137038">
        <w:rPr>
          <w:rFonts w:ascii="Times New Roman" w:eastAsia="Times New Roman" w:hAnsi="Times New Roman" w:cs="Times New Roman"/>
          <w:b/>
          <w:sz w:val="24"/>
          <w:szCs w:val="24"/>
        </w:rPr>
        <w:t xml:space="preserve">Usul ve kurumlar: </w:t>
      </w:r>
      <w:r w:rsidRPr="00137038">
        <w:rPr>
          <w:rFonts w:ascii="Times New Roman" w:eastAsia="Times New Roman" w:hAnsi="Times New Roman" w:cs="Times New Roman"/>
          <w:sz w:val="24"/>
          <w:szCs w:val="24"/>
        </w:rPr>
        <w:t xml:space="preserve">Anlaşmaya ilişkin usulleri ve anlaşmanın uygulanmasını temin edecek kurumlara ilişkin hususları içermektedir. </w:t>
      </w:r>
    </w:p>
    <w:p w:rsidR="00137038" w:rsidRPr="00137038" w:rsidRDefault="00137038" w:rsidP="00137038">
      <w:pPr>
        <w:spacing w:after="0" w:line="360" w:lineRule="auto"/>
        <w:rPr>
          <w:rFonts w:ascii="Times New Roman" w:eastAsia="Times New Roman" w:hAnsi="Times New Roman" w:cs="Times New Roman"/>
          <w:sz w:val="24"/>
          <w:lang w:eastAsia="tr-TR"/>
        </w:rPr>
      </w:pPr>
    </w:p>
    <w:p w:rsidR="00137038" w:rsidRPr="00137038" w:rsidRDefault="00137038" w:rsidP="00137038">
      <w:pPr>
        <w:spacing w:after="0" w:line="360" w:lineRule="auto"/>
        <w:rPr>
          <w:rFonts w:ascii="Times New Roman" w:eastAsia="Times New Roman" w:hAnsi="Times New Roman" w:cs="Times New Roman"/>
          <w:sz w:val="24"/>
          <w:lang w:eastAsia="tr-TR"/>
        </w:rPr>
      </w:pPr>
    </w:p>
    <w:p w:rsidR="00137038" w:rsidRPr="00137038" w:rsidRDefault="00137038" w:rsidP="00137038">
      <w:pPr>
        <w:spacing w:after="0" w:line="360" w:lineRule="auto"/>
        <w:rPr>
          <w:rFonts w:ascii="Times New Roman" w:eastAsia="Times New Roman" w:hAnsi="Times New Roman" w:cs="Times New Roman"/>
          <w:b/>
          <w:sz w:val="24"/>
          <w:u w:val="single"/>
          <w:lang w:eastAsia="tr-TR"/>
        </w:rPr>
      </w:pPr>
      <w:r w:rsidRPr="00137038">
        <w:rPr>
          <w:rFonts w:ascii="Times New Roman" w:eastAsia="Times New Roman" w:hAnsi="Times New Roman" w:cs="Times New Roman"/>
          <w:b/>
          <w:sz w:val="24"/>
          <w:u w:val="single"/>
          <w:lang w:eastAsia="tr-TR"/>
        </w:rPr>
        <w:t xml:space="preserve">Yeşil İklim Fonu </w:t>
      </w:r>
    </w:p>
    <w:p w:rsidR="00137038" w:rsidRPr="00137038" w:rsidRDefault="00137038" w:rsidP="00137038">
      <w:pPr>
        <w:spacing w:after="0" w:line="360" w:lineRule="auto"/>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2010 yılında </w:t>
      </w:r>
      <w:proofErr w:type="spellStart"/>
      <w:r w:rsidRPr="00137038">
        <w:rPr>
          <w:rFonts w:ascii="Times New Roman" w:eastAsia="Times New Roman" w:hAnsi="Times New Roman" w:cs="Times New Roman"/>
          <w:sz w:val="24"/>
          <w:lang w:eastAsia="tr-TR"/>
        </w:rPr>
        <w:t>Cancun’da</w:t>
      </w:r>
      <w:proofErr w:type="spellEnd"/>
      <w:r w:rsidRPr="00137038">
        <w:rPr>
          <w:rFonts w:ascii="Times New Roman" w:eastAsia="Times New Roman" w:hAnsi="Times New Roman" w:cs="Times New Roman"/>
          <w:sz w:val="24"/>
          <w:lang w:eastAsia="tr-TR"/>
        </w:rPr>
        <w:t xml:space="preserve"> gerçekleştirilen COP 16’da gelişmekte olan ülkelere iklim değişikliğiyle mücadeleye yönelik destek sağlanması amacıyla kurulması kararlaştırılan Yeşil İklim Fonu (GCF) kapsamında, gelişmiş ülkeler 2020 yılına kadar yıllık 100 milyar dolar tutarında bir kaynağı mobilize etmeyi taahhüt etmişlerdir.  Bu hedefe yönelik olarak COP 20 sırasında katkılarını açıklayan </w:t>
      </w:r>
      <w:r w:rsidRPr="00137038">
        <w:rPr>
          <w:rFonts w:ascii="Times New Roman" w:eastAsia="Times New Roman" w:hAnsi="Times New Roman" w:cs="Times New Roman"/>
          <w:sz w:val="24"/>
          <w:lang w:eastAsia="tr-TR"/>
        </w:rPr>
        <w:lastRenderedPageBreak/>
        <w:t>ülkelerle birlikte (</w:t>
      </w:r>
      <w:proofErr w:type="spellStart"/>
      <w:r w:rsidRPr="00137038">
        <w:rPr>
          <w:rFonts w:ascii="Times New Roman" w:eastAsia="Times New Roman" w:hAnsi="Times New Roman" w:cs="Times New Roman"/>
          <w:sz w:val="24"/>
          <w:lang w:eastAsia="tr-TR"/>
        </w:rPr>
        <w:t>Örn</w:t>
      </w:r>
      <w:proofErr w:type="spellEnd"/>
      <w:r w:rsidRPr="00137038">
        <w:rPr>
          <w:rFonts w:ascii="Times New Roman" w:eastAsia="Times New Roman" w:hAnsi="Times New Roman" w:cs="Times New Roman"/>
          <w:sz w:val="24"/>
          <w:lang w:eastAsia="tr-TR"/>
        </w:rPr>
        <w:t xml:space="preserve">. İspanya 184 milyon dolar, Avustralya </w:t>
      </w:r>
      <w:proofErr w:type="gramStart"/>
      <w:r w:rsidRPr="00137038">
        <w:rPr>
          <w:rFonts w:ascii="Times New Roman" w:eastAsia="Times New Roman" w:hAnsi="Times New Roman" w:cs="Times New Roman"/>
          <w:sz w:val="24"/>
          <w:lang w:eastAsia="tr-TR"/>
        </w:rPr>
        <w:t>165.7</w:t>
      </w:r>
      <w:proofErr w:type="gramEnd"/>
      <w:r w:rsidRPr="00137038">
        <w:rPr>
          <w:rFonts w:ascii="Times New Roman" w:eastAsia="Times New Roman" w:hAnsi="Times New Roman" w:cs="Times New Roman"/>
          <w:sz w:val="24"/>
          <w:lang w:eastAsia="tr-TR"/>
        </w:rPr>
        <w:t xml:space="preserve"> milyon dolar, Belçika 63.7 milyon dolar) Fon’un bütçesi hali hazırda 10 milyar doları aşmıştır. Fon’a en fazla katkı sağlamayı taahhüt eden ülkeler ABD (3 milyar dolar), Japonya (</w:t>
      </w:r>
      <w:proofErr w:type="gramStart"/>
      <w:r w:rsidRPr="00137038">
        <w:rPr>
          <w:rFonts w:ascii="Times New Roman" w:eastAsia="Times New Roman" w:hAnsi="Times New Roman" w:cs="Times New Roman"/>
          <w:sz w:val="24"/>
          <w:lang w:eastAsia="tr-TR"/>
        </w:rPr>
        <w:t>1.3</w:t>
      </w:r>
      <w:proofErr w:type="gramEnd"/>
      <w:r w:rsidRPr="00137038">
        <w:rPr>
          <w:rFonts w:ascii="Times New Roman" w:eastAsia="Times New Roman" w:hAnsi="Times New Roman" w:cs="Times New Roman"/>
          <w:sz w:val="24"/>
          <w:lang w:eastAsia="tr-TR"/>
        </w:rPr>
        <w:t xml:space="preserve"> milyar dolar), İngiltere (1.1 milyar dolar), Fransa (970 milyon dolar) ve Almanya (940 milyon dolar) iken Meksika, Kore, Endonezya, Peru, Panama ve Moğolistan gibi gelişmekte olan ülkelerin de katkı sağlayacaklarını açıklamış olmaları dikkat çekmiştir</w:t>
      </w:r>
      <w:r w:rsidRPr="00137038">
        <w:rPr>
          <w:rFonts w:ascii="Times New Roman" w:eastAsia="Times New Roman" w:hAnsi="Times New Roman" w:cs="Times New Roman"/>
          <w:sz w:val="24"/>
          <w:szCs w:val="24"/>
          <w:vertAlign w:val="superscript"/>
        </w:rPr>
        <w:footnoteReference w:id="2"/>
      </w:r>
      <w:r w:rsidRPr="00137038">
        <w:rPr>
          <w:rFonts w:ascii="Times New Roman" w:eastAsia="Times New Roman" w:hAnsi="Times New Roman" w:cs="Times New Roman"/>
          <w:sz w:val="24"/>
          <w:lang w:eastAsia="tr-TR"/>
        </w:rPr>
        <w:t xml:space="preserve">.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Fon’a yönelik olarak alınan yönlendirme kararında; Kasım ayı içerisinde taahhüt edilen katkıların % 50’sinin en geç 30 Nisan 2015 tarihi itibariyle kontrat altına alınmasıyla</w:t>
      </w:r>
      <w:r w:rsidRPr="00137038">
        <w:rPr>
          <w:rFonts w:ascii="Times New Roman" w:eastAsia="Times New Roman" w:hAnsi="Times New Roman" w:cs="Times New Roman"/>
          <w:color w:val="FF0000"/>
          <w:sz w:val="24"/>
          <w:lang w:eastAsia="tr-TR"/>
        </w:rPr>
        <w:t xml:space="preserve"> </w:t>
      </w:r>
      <w:r w:rsidRPr="00137038">
        <w:rPr>
          <w:rFonts w:ascii="Times New Roman" w:eastAsia="Times New Roman" w:hAnsi="Times New Roman" w:cs="Times New Roman"/>
          <w:sz w:val="24"/>
          <w:lang w:eastAsia="tr-TR"/>
        </w:rPr>
        <w:t xml:space="preserve">birlikte Fon’un uygulamaya geçmesi çağrısında bulunmuştur. Buna ek olarak Fon’un </w:t>
      </w:r>
      <w:proofErr w:type="spellStart"/>
      <w:r w:rsidRPr="00137038">
        <w:rPr>
          <w:rFonts w:ascii="Times New Roman" w:eastAsia="Times New Roman" w:hAnsi="Times New Roman" w:cs="Times New Roman"/>
          <w:sz w:val="24"/>
          <w:lang w:eastAsia="tr-TR"/>
        </w:rPr>
        <w:t>COP’a</w:t>
      </w:r>
      <w:proofErr w:type="spellEnd"/>
      <w:r w:rsidRPr="00137038">
        <w:rPr>
          <w:rFonts w:ascii="Times New Roman" w:eastAsia="Times New Roman" w:hAnsi="Times New Roman" w:cs="Times New Roman"/>
          <w:sz w:val="24"/>
          <w:lang w:eastAsia="tr-TR"/>
        </w:rPr>
        <w:t xml:space="preserve"> sunmuş olduğu raporda, GCF Yönetim Kurulu’nun 2015 yılı içerisindeki 3. toplantısından (Ekim ayında gerçekleşecek) geç olmamak kaydıyla projeleri onaylamaya başlamayı öngördüğü bilgisi aktarılmıştır</w:t>
      </w:r>
      <w:r w:rsidRPr="00137038">
        <w:rPr>
          <w:rFonts w:ascii="Times New Roman" w:eastAsia="Times New Roman" w:hAnsi="Times New Roman" w:cs="Times New Roman"/>
          <w:sz w:val="24"/>
          <w:szCs w:val="24"/>
          <w:vertAlign w:val="superscript"/>
        </w:rPr>
        <w:footnoteReference w:id="3"/>
      </w:r>
      <w:r w:rsidRPr="00137038">
        <w:rPr>
          <w:rFonts w:ascii="Times New Roman" w:eastAsia="Times New Roman" w:hAnsi="Times New Roman" w:cs="Times New Roman"/>
          <w:sz w:val="24"/>
          <w:lang w:eastAsia="tr-TR"/>
        </w:rPr>
        <w:t>.</w:t>
      </w:r>
    </w:p>
    <w:p w:rsidR="00137038" w:rsidRPr="00137038" w:rsidRDefault="00137038" w:rsidP="00137038">
      <w:pPr>
        <w:spacing w:after="0" w:line="360" w:lineRule="auto"/>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Geçtiğimiz yıldan bu yana önemli bir gelişme kaydeden </w:t>
      </w:r>
      <w:proofErr w:type="spellStart"/>
      <w:r w:rsidRPr="00137038">
        <w:rPr>
          <w:rFonts w:ascii="Times New Roman" w:eastAsia="Times New Roman" w:hAnsi="Times New Roman" w:cs="Times New Roman"/>
          <w:sz w:val="24"/>
          <w:lang w:eastAsia="tr-TR"/>
        </w:rPr>
        <w:t>GCF’nin</w:t>
      </w:r>
      <w:proofErr w:type="spellEnd"/>
      <w:r w:rsidRPr="00137038">
        <w:rPr>
          <w:rFonts w:ascii="Times New Roman" w:eastAsia="Times New Roman" w:hAnsi="Times New Roman" w:cs="Times New Roman"/>
          <w:sz w:val="24"/>
          <w:lang w:eastAsia="tr-TR"/>
        </w:rPr>
        <w:t xml:space="preserve"> COP 21 öncesinde projelere destek vermeye başlayacak olması ve gelişmekte olan ülkeler de </w:t>
      </w:r>
      <w:proofErr w:type="gramStart"/>
      <w:r w:rsidRPr="00137038">
        <w:rPr>
          <w:rFonts w:ascii="Times New Roman" w:eastAsia="Times New Roman" w:hAnsi="Times New Roman" w:cs="Times New Roman"/>
          <w:sz w:val="24"/>
          <w:lang w:eastAsia="tr-TR"/>
        </w:rPr>
        <w:t>dahil</w:t>
      </w:r>
      <w:proofErr w:type="gramEnd"/>
      <w:r w:rsidRPr="00137038">
        <w:rPr>
          <w:rFonts w:ascii="Times New Roman" w:eastAsia="Times New Roman" w:hAnsi="Times New Roman" w:cs="Times New Roman"/>
          <w:sz w:val="24"/>
          <w:lang w:eastAsia="tr-TR"/>
        </w:rPr>
        <w:t xml:space="preserve"> olmak üzere taraf ülkelerin birbiri ardına fona katkılarını açıklaması ümit vericidir. Öte yandan bu katkıların miktarı henüz hedeflenenin çok altındadır. Bu durum iklim finansmanının geleceğine ilişkin belirsizliklerin devam etmesine yol açmaktadır. Söz konusu belirsizlikler özellikle gelişmekte olan ülke hükümetlerini </w:t>
      </w:r>
      <w:proofErr w:type="gramStart"/>
      <w:r w:rsidRPr="00137038">
        <w:rPr>
          <w:rFonts w:ascii="Times New Roman" w:eastAsia="Times New Roman" w:hAnsi="Times New Roman" w:cs="Times New Roman"/>
          <w:sz w:val="24"/>
          <w:lang w:eastAsia="tr-TR"/>
        </w:rPr>
        <w:t>emisyon</w:t>
      </w:r>
      <w:proofErr w:type="gram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azaltımı</w:t>
      </w:r>
      <w:proofErr w:type="spellEnd"/>
      <w:r w:rsidRPr="00137038">
        <w:rPr>
          <w:rFonts w:ascii="Times New Roman" w:eastAsia="Times New Roman" w:hAnsi="Times New Roman" w:cs="Times New Roman"/>
          <w:sz w:val="24"/>
          <w:lang w:eastAsia="tr-TR"/>
        </w:rPr>
        <w:t xml:space="preserve"> konusunda çekingen davranmaya itmektedir.</w:t>
      </w:r>
    </w:p>
    <w:p w:rsidR="00137038" w:rsidRPr="00137038" w:rsidRDefault="00137038" w:rsidP="00137038">
      <w:pPr>
        <w:spacing w:after="0" w:line="360" w:lineRule="auto"/>
        <w:rPr>
          <w:rFonts w:ascii="Times New Roman" w:eastAsia="Times New Roman" w:hAnsi="Times New Roman" w:cs="Times New Roman"/>
          <w:sz w:val="24"/>
          <w:lang w:eastAsia="tr-TR"/>
        </w:rPr>
      </w:pPr>
    </w:p>
    <w:p w:rsidR="00137038" w:rsidRPr="00137038" w:rsidRDefault="00137038" w:rsidP="00137038">
      <w:pPr>
        <w:spacing w:after="0" w:line="360" w:lineRule="auto"/>
        <w:rPr>
          <w:rFonts w:ascii="Times New Roman" w:eastAsia="Times New Roman" w:hAnsi="Times New Roman" w:cs="Times New Roman"/>
          <w:sz w:val="24"/>
          <w:lang w:eastAsia="tr-TR"/>
        </w:rPr>
      </w:pPr>
    </w:p>
    <w:p w:rsidR="00137038" w:rsidRPr="00137038" w:rsidRDefault="00137038" w:rsidP="00137038">
      <w:pPr>
        <w:spacing w:after="0" w:line="360" w:lineRule="auto"/>
        <w:rPr>
          <w:rFonts w:ascii="Times New Roman" w:eastAsia="Times New Roman" w:hAnsi="Times New Roman" w:cs="Times New Roman"/>
          <w:sz w:val="24"/>
          <w:lang w:eastAsia="tr-TR"/>
        </w:rPr>
      </w:pPr>
    </w:p>
    <w:p w:rsidR="00137038" w:rsidRPr="00137038" w:rsidRDefault="00137038" w:rsidP="00137038">
      <w:pPr>
        <w:spacing w:after="0" w:line="360" w:lineRule="auto"/>
        <w:rPr>
          <w:rFonts w:ascii="Times New Roman" w:eastAsia="Times New Roman" w:hAnsi="Times New Roman" w:cs="Times New Roman"/>
          <w:b/>
          <w:sz w:val="24"/>
          <w:u w:val="single"/>
          <w:lang w:eastAsia="tr-TR"/>
        </w:rPr>
      </w:pPr>
      <w:r w:rsidRPr="00137038">
        <w:rPr>
          <w:rFonts w:ascii="Times New Roman" w:eastAsia="Times New Roman" w:hAnsi="Times New Roman" w:cs="Times New Roman"/>
          <w:b/>
          <w:sz w:val="24"/>
          <w:u w:val="single"/>
          <w:lang w:eastAsia="tr-TR"/>
        </w:rPr>
        <w:t xml:space="preserve">Varşova Mekanizması </w:t>
      </w:r>
    </w:p>
    <w:p w:rsidR="00137038" w:rsidRPr="00137038" w:rsidRDefault="00137038" w:rsidP="00137038">
      <w:pPr>
        <w:spacing w:after="0" w:line="360" w:lineRule="auto"/>
        <w:rPr>
          <w:rFonts w:ascii="Times New Roman" w:eastAsia="Times New Roman" w:hAnsi="Times New Roman" w:cs="Times New Roman"/>
          <w:b/>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Varşova Mekanizması geçtiğimiz yıl COP 19’da iklim değişikliğinin olumsuz etkileri sonucu ortaya çıkan kayıp ve zararlara karşı oluşturulmuş, bu çerçevede iklim değişikliğine karşı zayıf konumdaki gelişmekte olan ülkelere yönelik olarak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w:t>
      </w:r>
      <w:r w:rsidRPr="00137038">
        <w:rPr>
          <w:rFonts w:ascii="Times New Roman" w:eastAsia="Times New Roman" w:hAnsi="Times New Roman" w:cs="Times New Roman"/>
          <w:sz w:val="24"/>
          <w:lang w:eastAsia="tr-TR"/>
        </w:rPr>
        <w:tab/>
        <w:t xml:space="preserve">kapsamlı bir risk yönetimi için bilgi ve anlayışın geliştirilmesi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w:t>
      </w:r>
      <w:r w:rsidRPr="00137038">
        <w:rPr>
          <w:rFonts w:ascii="Times New Roman" w:eastAsia="Times New Roman" w:hAnsi="Times New Roman" w:cs="Times New Roman"/>
          <w:sz w:val="24"/>
          <w:lang w:eastAsia="tr-TR"/>
        </w:rPr>
        <w:tab/>
        <w:t xml:space="preserve">teknoloji, kapasite geliştirme ve finans desteğinin artırılması öngörülmüştür. </w:t>
      </w:r>
    </w:p>
    <w:p w:rsidR="00137038" w:rsidRPr="00137038" w:rsidRDefault="00137038" w:rsidP="00137038">
      <w:pPr>
        <w:spacing w:after="0" w:line="360" w:lineRule="auto"/>
        <w:jc w:val="both"/>
        <w:rPr>
          <w:rFonts w:ascii="Times New Roman" w:eastAsia="Times New Roman" w:hAnsi="Times New Roman" w:cs="Times New Roman"/>
          <w:b/>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Söz konusu mekanizmaya ilişkin olarak bu yıl alınan karar kapsamında Mekanizma </w:t>
      </w:r>
      <w:proofErr w:type="gramStart"/>
      <w:r w:rsidRPr="00137038">
        <w:rPr>
          <w:rFonts w:ascii="Times New Roman" w:eastAsia="Times New Roman" w:hAnsi="Times New Roman" w:cs="Times New Roman"/>
          <w:sz w:val="24"/>
          <w:lang w:eastAsia="tr-TR"/>
        </w:rPr>
        <w:t>dahilinde</w:t>
      </w:r>
      <w:proofErr w:type="gramEnd"/>
      <w:r w:rsidRPr="00137038">
        <w:rPr>
          <w:rFonts w:ascii="Times New Roman" w:eastAsia="Times New Roman" w:hAnsi="Times New Roman" w:cs="Times New Roman"/>
          <w:sz w:val="24"/>
          <w:lang w:eastAsia="tr-TR"/>
        </w:rPr>
        <w:t xml:space="preserve"> bir yürütme kurulu oluşturulmuş ve iki yıllık bir çalışma programı üzerinde uzlaşıya varılmıştır. Bahse konu çalışma programı aşağıdaki unsurları içermektedir.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numPr>
          <w:ilvl w:val="0"/>
          <w:numId w:val="21"/>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İklim değişikliğinin gelişmekte olan ülkeler (özellikle iklim değişikliğine karşı hassas konumdaki) üzerindeki etkilerinin belirlenmesi </w:t>
      </w:r>
    </w:p>
    <w:p w:rsidR="00137038" w:rsidRPr="00137038" w:rsidRDefault="00137038" w:rsidP="00137038">
      <w:pPr>
        <w:numPr>
          <w:ilvl w:val="0"/>
          <w:numId w:val="21"/>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Sosyal koruma araçlarının geliştirilmesi; uzun vadede iklim değişikliğinin etkilerine karşı direnç geliştirilmesi gibi konuları içeren kapsamlı risk yönetimi (risk önleme, risk azaltma, risk değerlendirme, risk transferi) yaklaşımları oluşturulması</w:t>
      </w:r>
    </w:p>
    <w:p w:rsidR="00137038" w:rsidRPr="00137038" w:rsidRDefault="00137038" w:rsidP="00137038">
      <w:pPr>
        <w:numPr>
          <w:ilvl w:val="0"/>
          <w:numId w:val="21"/>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İklim değişikliğinin ülkeler ve bölgelerdeki potansiyel etkileri de </w:t>
      </w:r>
      <w:proofErr w:type="gramStart"/>
      <w:r w:rsidRPr="00137038">
        <w:rPr>
          <w:rFonts w:ascii="Times New Roman" w:eastAsia="Times New Roman" w:hAnsi="Times New Roman" w:cs="Times New Roman"/>
          <w:sz w:val="24"/>
          <w:lang w:eastAsia="tr-TR"/>
        </w:rPr>
        <w:t>dahil</w:t>
      </w:r>
      <w:proofErr w:type="gramEnd"/>
      <w:r w:rsidRPr="00137038">
        <w:rPr>
          <w:rFonts w:ascii="Times New Roman" w:eastAsia="Times New Roman" w:hAnsi="Times New Roman" w:cs="Times New Roman"/>
          <w:sz w:val="24"/>
          <w:lang w:eastAsia="tr-TR"/>
        </w:rPr>
        <w:t xml:space="preserve"> olmak üzere yavaş gelişen etkilerine yönelik veri toplanması ve bu etkilere karşı önlem geliştirilmesi</w:t>
      </w:r>
    </w:p>
    <w:p w:rsidR="00137038" w:rsidRPr="00137038" w:rsidRDefault="00137038" w:rsidP="00137038">
      <w:pPr>
        <w:numPr>
          <w:ilvl w:val="0"/>
          <w:numId w:val="21"/>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İklim değişikliğinin ekonomi dışı etkilerine yönelik veri ve bilginin artırılması ve bu konuda yaklaşım geliştirilmesi</w:t>
      </w:r>
    </w:p>
    <w:p w:rsidR="00137038" w:rsidRPr="00137038" w:rsidRDefault="00137038" w:rsidP="00137038">
      <w:pPr>
        <w:numPr>
          <w:ilvl w:val="0"/>
          <w:numId w:val="21"/>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Doğal afetler ve yavaş gelişen etkiler (</w:t>
      </w:r>
      <w:proofErr w:type="spellStart"/>
      <w:r w:rsidRPr="00137038">
        <w:rPr>
          <w:rFonts w:ascii="Times New Roman" w:eastAsia="Times New Roman" w:hAnsi="Times New Roman" w:cs="Times New Roman"/>
          <w:sz w:val="24"/>
          <w:lang w:eastAsia="tr-TR"/>
        </w:rPr>
        <w:t>slow</w:t>
      </w:r>
      <w:proofErr w:type="spell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onset</w:t>
      </w:r>
      <w:proofErr w:type="spell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events</w:t>
      </w:r>
      <w:proofErr w:type="spellEnd"/>
      <w:r w:rsidRPr="00137038">
        <w:rPr>
          <w:rFonts w:ascii="Times New Roman" w:eastAsia="Times New Roman" w:hAnsi="Times New Roman" w:cs="Times New Roman"/>
          <w:sz w:val="24"/>
          <w:lang w:eastAsia="tr-TR"/>
        </w:rPr>
        <w:t>) sonucu doğan kayıp ve zararlara karşı direncin artırılmasına yönelik kapasite ve eşgüdümün gelişimi</w:t>
      </w:r>
    </w:p>
    <w:p w:rsidR="00137038" w:rsidRPr="00137038" w:rsidRDefault="00137038" w:rsidP="00137038">
      <w:pPr>
        <w:numPr>
          <w:ilvl w:val="0"/>
          <w:numId w:val="21"/>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İklim değişikliğinin </w:t>
      </w:r>
      <w:proofErr w:type="spellStart"/>
      <w:r w:rsidRPr="00137038">
        <w:rPr>
          <w:rFonts w:ascii="Times New Roman" w:eastAsia="Times New Roman" w:hAnsi="Times New Roman" w:cs="Times New Roman"/>
          <w:sz w:val="24"/>
          <w:lang w:eastAsia="tr-TR"/>
        </w:rPr>
        <w:t>azaltımına</w:t>
      </w:r>
      <w:proofErr w:type="spellEnd"/>
      <w:r w:rsidRPr="00137038">
        <w:rPr>
          <w:rFonts w:ascii="Times New Roman" w:eastAsia="Times New Roman" w:hAnsi="Times New Roman" w:cs="Times New Roman"/>
          <w:sz w:val="24"/>
          <w:lang w:eastAsia="tr-TR"/>
        </w:rPr>
        <w:t xml:space="preserve"> yönelik çabaları ve insan hareketliliğini (</w:t>
      </w:r>
      <w:proofErr w:type="spellStart"/>
      <w:r w:rsidRPr="00137038">
        <w:rPr>
          <w:rFonts w:ascii="Times New Roman" w:eastAsia="Times New Roman" w:hAnsi="Times New Roman" w:cs="Times New Roman"/>
          <w:sz w:val="24"/>
          <w:lang w:eastAsia="tr-TR"/>
        </w:rPr>
        <w:t>human</w:t>
      </w:r>
      <w:proofErr w:type="spell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mobility</w:t>
      </w:r>
      <w:proofErr w:type="spellEnd"/>
      <w:r w:rsidRPr="00137038">
        <w:rPr>
          <w:rFonts w:ascii="Times New Roman" w:eastAsia="Times New Roman" w:hAnsi="Times New Roman" w:cs="Times New Roman"/>
          <w:sz w:val="24"/>
          <w:lang w:eastAsia="tr-TR"/>
        </w:rPr>
        <w:t>) nasıl etkilediğinin anlaşılması ve bu konuda uzmanlık geliştirilmesi</w:t>
      </w:r>
    </w:p>
    <w:p w:rsidR="00137038" w:rsidRPr="00137038" w:rsidRDefault="00137038" w:rsidP="00137038">
      <w:pPr>
        <w:numPr>
          <w:ilvl w:val="0"/>
          <w:numId w:val="21"/>
        </w:num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Kayıp ve zarar durumlarında finansa erişimi sağlamak amacıyla iklim değişikliği sonucu oluşan kayıp ve zarar risklerine yönelik risk yönetimi ve mali araçlara ilişkin bilginin yayılmasının teşvik edilmesi</w:t>
      </w:r>
      <w:r w:rsidRPr="00137038">
        <w:rPr>
          <w:rFonts w:ascii="Times New Roman" w:eastAsia="Times New Roman" w:hAnsi="Times New Roman" w:cs="Times New Roman"/>
          <w:sz w:val="24"/>
          <w:szCs w:val="24"/>
          <w:vertAlign w:val="superscript"/>
        </w:rPr>
        <w:footnoteReference w:id="4"/>
      </w:r>
      <w:r w:rsidRPr="00137038">
        <w:rPr>
          <w:rFonts w:ascii="Times New Roman" w:eastAsia="Times New Roman" w:hAnsi="Times New Roman" w:cs="Times New Roman"/>
          <w:sz w:val="24"/>
          <w:lang w:eastAsia="tr-TR"/>
        </w:rPr>
        <w:t>.</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Geçtiğimiz yıl kurulması kararlaştırılan Varşova </w:t>
      </w:r>
      <w:proofErr w:type="spellStart"/>
      <w:r w:rsidRPr="00137038">
        <w:rPr>
          <w:rFonts w:ascii="Times New Roman" w:eastAsia="Times New Roman" w:hAnsi="Times New Roman" w:cs="Times New Roman"/>
          <w:sz w:val="24"/>
          <w:lang w:eastAsia="tr-TR"/>
        </w:rPr>
        <w:t>Mekanizması’nın</w:t>
      </w:r>
      <w:proofErr w:type="spellEnd"/>
      <w:r w:rsidRPr="00137038">
        <w:rPr>
          <w:rFonts w:ascii="Times New Roman" w:eastAsia="Times New Roman" w:hAnsi="Times New Roman" w:cs="Times New Roman"/>
          <w:sz w:val="24"/>
          <w:lang w:eastAsia="tr-TR"/>
        </w:rPr>
        <w:t xml:space="preserve"> bir kurumsal yapıya kavuşturulması ve bir çalışma programının belirlenmesi konuya ilişkin iradenin varlığına işaret etmektedir. Öte yandan söz konusu çalışma programı</w:t>
      </w:r>
      <w:r w:rsidRPr="00137038">
        <w:rPr>
          <w:rFonts w:ascii="Times New Roman" w:eastAsia="Times New Roman" w:hAnsi="Times New Roman" w:cs="Times New Roman"/>
          <w:color w:val="FF0000"/>
          <w:sz w:val="24"/>
          <w:lang w:eastAsia="tr-TR"/>
        </w:rPr>
        <w:t xml:space="preserve"> </w:t>
      </w:r>
      <w:proofErr w:type="gramStart"/>
      <w:r w:rsidRPr="00137038">
        <w:rPr>
          <w:rFonts w:ascii="Times New Roman" w:eastAsia="Times New Roman" w:hAnsi="Times New Roman" w:cs="Times New Roman"/>
          <w:sz w:val="24"/>
          <w:lang w:eastAsia="tr-TR"/>
        </w:rPr>
        <w:t>dahilinde</w:t>
      </w:r>
      <w:proofErr w:type="gramEnd"/>
      <w:r w:rsidRPr="00137038">
        <w:rPr>
          <w:rFonts w:ascii="Times New Roman" w:eastAsia="Times New Roman" w:hAnsi="Times New Roman" w:cs="Times New Roman"/>
          <w:sz w:val="24"/>
          <w:lang w:eastAsia="tr-TR"/>
        </w:rPr>
        <w:t xml:space="preserve"> finansa erişimin kolaylaştırılmasına ilişkin somut tedbirlerin eksikliği dikkat çekmektedir. </w:t>
      </w:r>
    </w:p>
    <w:p w:rsidR="00137038" w:rsidRPr="00137038" w:rsidRDefault="00137038" w:rsidP="00137038">
      <w:pPr>
        <w:spacing w:after="0" w:line="360" w:lineRule="auto"/>
        <w:rPr>
          <w:rFonts w:ascii="Times New Roman" w:eastAsia="Times New Roman" w:hAnsi="Times New Roman" w:cs="Times New Roman"/>
          <w:b/>
          <w:sz w:val="24"/>
          <w:lang w:eastAsia="tr-TR"/>
        </w:rPr>
      </w:pPr>
    </w:p>
    <w:p w:rsidR="00137038" w:rsidRPr="00137038" w:rsidRDefault="00137038" w:rsidP="00137038">
      <w:pPr>
        <w:numPr>
          <w:ilvl w:val="0"/>
          <w:numId w:val="22"/>
        </w:numPr>
        <w:spacing w:after="0" w:line="360" w:lineRule="auto"/>
        <w:rPr>
          <w:rFonts w:ascii="Times New Roman" w:eastAsia="Times New Roman" w:hAnsi="Times New Roman" w:cs="Times New Roman"/>
          <w:sz w:val="28"/>
          <w:lang w:eastAsia="tr-TR"/>
        </w:rPr>
      </w:pPr>
      <w:r w:rsidRPr="00137038">
        <w:rPr>
          <w:rFonts w:ascii="Times New Roman" w:eastAsia="Times New Roman" w:hAnsi="Times New Roman" w:cs="Times New Roman"/>
          <w:b/>
          <w:sz w:val="28"/>
          <w:lang w:eastAsia="tr-TR"/>
        </w:rPr>
        <w:t xml:space="preserve">Tutum Farklılıkları İçeren Konular </w:t>
      </w:r>
    </w:p>
    <w:p w:rsidR="00137038" w:rsidRPr="00137038" w:rsidRDefault="00137038" w:rsidP="00137038">
      <w:pPr>
        <w:spacing w:after="0" w:line="360" w:lineRule="auto"/>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Müzakereler sırasında taraflar arasında keskin tutum farklılıklarının </w:t>
      </w:r>
      <w:proofErr w:type="gramStart"/>
      <w:r w:rsidRPr="00137038">
        <w:rPr>
          <w:rFonts w:ascii="Times New Roman" w:eastAsia="Times New Roman" w:hAnsi="Times New Roman" w:cs="Times New Roman"/>
          <w:sz w:val="24"/>
          <w:lang w:eastAsia="tr-TR"/>
        </w:rPr>
        <w:t>gözlemlendiği  konular</w:t>
      </w:r>
      <w:proofErr w:type="gramEnd"/>
      <w:r w:rsidRPr="00137038">
        <w:rPr>
          <w:rFonts w:ascii="Times New Roman" w:eastAsia="Times New Roman" w:hAnsi="Times New Roman" w:cs="Times New Roman"/>
          <w:sz w:val="24"/>
          <w:lang w:eastAsia="tr-TR"/>
        </w:rPr>
        <w:t xml:space="preserve"> anlaşmanın temel prensipleri ve amacının yanı sıra, ulusal katkıların amacı ve düzeyi, üstlenilecek sorumluluklara ilişkin farklılaşma, şeffaflık, yardımlar ve uyuma ilişkin hususlardır. Aşağıda </w:t>
      </w:r>
      <w:r w:rsidRPr="00137038">
        <w:rPr>
          <w:rFonts w:ascii="Times New Roman" w:eastAsia="Times New Roman" w:hAnsi="Times New Roman" w:cs="Times New Roman"/>
          <w:sz w:val="24"/>
          <w:lang w:eastAsia="tr-TR"/>
        </w:rPr>
        <w:lastRenderedPageBreak/>
        <w:t xml:space="preserve">özetlenen bu farklılıklar önümüzdeki yıl Paris’te gerçekleşecek olan COP 21 ve bu zamana kadar olan süreç içerisindeki tartışmalara ilişkin ipucu vermektedir.    </w:t>
      </w:r>
    </w:p>
    <w:p w:rsidR="00137038" w:rsidRPr="00137038" w:rsidRDefault="00137038" w:rsidP="00137038">
      <w:pPr>
        <w:spacing w:after="0" w:line="360" w:lineRule="auto"/>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Çin ve Hindistan’ın başını çektiği gelişmekte olan ülkeler, Afrika Grubu ülkeleri ve Arap Grubu ülkeleri gerek taslak müzakere metnine gerekse ulusal katkıların içeriğine ilişkin tartışmalarda Sözleşme’nin temel ilkelerine atıf yapılmasında ısrarcı olmuşlardır.  Söz konusu ilkeler taraf ülkelerin iklim değişikliğiyle mücadelede ortak fakat farklılaştırılmış sorumlulukları (</w:t>
      </w:r>
      <w:proofErr w:type="spellStart"/>
      <w:r w:rsidRPr="00137038">
        <w:rPr>
          <w:rFonts w:ascii="Times New Roman" w:eastAsia="Times New Roman" w:hAnsi="Times New Roman" w:cs="Times New Roman"/>
          <w:i/>
          <w:sz w:val="24"/>
          <w:lang w:eastAsia="tr-TR"/>
        </w:rPr>
        <w:t>common</w:t>
      </w:r>
      <w:proofErr w:type="spellEnd"/>
      <w:r w:rsidRPr="00137038">
        <w:rPr>
          <w:rFonts w:ascii="Times New Roman" w:eastAsia="Times New Roman" w:hAnsi="Times New Roman" w:cs="Times New Roman"/>
          <w:i/>
          <w:sz w:val="24"/>
          <w:lang w:eastAsia="tr-TR"/>
        </w:rPr>
        <w:t xml:space="preserve"> but </w:t>
      </w:r>
      <w:proofErr w:type="spellStart"/>
      <w:r w:rsidRPr="00137038">
        <w:rPr>
          <w:rFonts w:ascii="Times New Roman" w:eastAsia="Times New Roman" w:hAnsi="Times New Roman" w:cs="Times New Roman"/>
          <w:i/>
          <w:sz w:val="24"/>
          <w:lang w:eastAsia="tr-TR"/>
        </w:rPr>
        <w:t>differentiated</w:t>
      </w:r>
      <w:proofErr w:type="spellEnd"/>
      <w:r w:rsidRPr="00137038">
        <w:rPr>
          <w:rFonts w:ascii="Times New Roman" w:eastAsia="Times New Roman" w:hAnsi="Times New Roman" w:cs="Times New Roman"/>
          <w:i/>
          <w:sz w:val="24"/>
          <w:lang w:eastAsia="tr-TR"/>
        </w:rPr>
        <w:t xml:space="preserve"> </w:t>
      </w:r>
      <w:proofErr w:type="spellStart"/>
      <w:r w:rsidRPr="00137038">
        <w:rPr>
          <w:rFonts w:ascii="Times New Roman" w:eastAsia="Times New Roman" w:hAnsi="Times New Roman" w:cs="Times New Roman"/>
          <w:i/>
          <w:sz w:val="24"/>
          <w:lang w:eastAsia="tr-TR"/>
        </w:rPr>
        <w:t>responsibilities</w:t>
      </w:r>
      <w:proofErr w:type="spellEnd"/>
      <w:r w:rsidRPr="00137038">
        <w:rPr>
          <w:rFonts w:ascii="Times New Roman" w:eastAsia="Times New Roman" w:hAnsi="Times New Roman" w:cs="Times New Roman"/>
          <w:sz w:val="24"/>
          <w:lang w:eastAsia="tr-TR"/>
        </w:rPr>
        <w:t>) ve bireysel koşulları (</w:t>
      </w:r>
      <w:proofErr w:type="spellStart"/>
      <w:r w:rsidRPr="00137038">
        <w:rPr>
          <w:rFonts w:ascii="Times New Roman" w:eastAsia="Times New Roman" w:hAnsi="Times New Roman" w:cs="Times New Roman"/>
          <w:i/>
          <w:sz w:val="24"/>
          <w:lang w:eastAsia="tr-TR"/>
        </w:rPr>
        <w:t>respective</w:t>
      </w:r>
      <w:proofErr w:type="spellEnd"/>
      <w:r w:rsidRPr="00137038">
        <w:rPr>
          <w:rFonts w:ascii="Times New Roman" w:eastAsia="Times New Roman" w:hAnsi="Times New Roman" w:cs="Times New Roman"/>
          <w:i/>
          <w:sz w:val="24"/>
          <w:lang w:eastAsia="tr-TR"/>
        </w:rPr>
        <w:t xml:space="preserve"> </w:t>
      </w:r>
      <w:proofErr w:type="spellStart"/>
      <w:r w:rsidRPr="00137038">
        <w:rPr>
          <w:rFonts w:ascii="Times New Roman" w:eastAsia="Times New Roman" w:hAnsi="Times New Roman" w:cs="Times New Roman"/>
          <w:i/>
          <w:sz w:val="24"/>
          <w:lang w:eastAsia="tr-TR"/>
        </w:rPr>
        <w:t>capabilities</w:t>
      </w:r>
      <w:proofErr w:type="spellEnd"/>
      <w:r w:rsidRPr="00137038">
        <w:rPr>
          <w:rFonts w:ascii="Times New Roman" w:eastAsia="Times New Roman" w:hAnsi="Times New Roman" w:cs="Times New Roman"/>
          <w:sz w:val="24"/>
          <w:lang w:eastAsia="tr-TR"/>
        </w:rPr>
        <w:t xml:space="preserve">) </w:t>
      </w:r>
      <w:proofErr w:type="gramStart"/>
      <w:r w:rsidRPr="00137038">
        <w:rPr>
          <w:rFonts w:ascii="Times New Roman" w:eastAsia="Times New Roman" w:hAnsi="Times New Roman" w:cs="Times New Roman"/>
          <w:sz w:val="24"/>
          <w:lang w:eastAsia="tr-TR"/>
        </w:rPr>
        <w:t>dahilinde</w:t>
      </w:r>
      <w:proofErr w:type="gramEnd"/>
      <w:r w:rsidRPr="00137038">
        <w:rPr>
          <w:rFonts w:ascii="Times New Roman" w:eastAsia="Times New Roman" w:hAnsi="Times New Roman" w:cs="Times New Roman"/>
          <w:sz w:val="24"/>
          <w:lang w:eastAsia="tr-TR"/>
        </w:rPr>
        <w:t xml:space="preserve"> rol almasını, bu çerçevede Ek 1 içerisinde yer alan gelişmiş ülkelerin öncü olmasını öngörmüştür</w:t>
      </w:r>
      <w:r w:rsidRPr="00137038">
        <w:rPr>
          <w:rFonts w:ascii="Times New Roman" w:eastAsia="Times New Roman" w:hAnsi="Times New Roman" w:cs="Times New Roman"/>
          <w:sz w:val="24"/>
          <w:szCs w:val="24"/>
          <w:vertAlign w:val="superscript"/>
        </w:rPr>
        <w:footnoteReference w:id="5"/>
      </w:r>
      <w:r w:rsidRPr="00137038">
        <w:rPr>
          <w:rFonts w:ascii="Times New Roman" w:eastAsia="Times New Roman" w:hAnsi="Times New Roman" w:cs="Times New Roman"/>
          <w:sz w:val="24"/>
          <w:lang w:eastAsia="tr-TR"/>
        </w:rPr>
        <w:t>.  Buna karşılık olarak gelişmiş ülkeleri temsil eden taraflar (başta ABD ve AB) ise Sözleşme’nin imzalandığı 1992 yılındaki şartların değiştiği savından hareketle “gelişen sorumluluklar”</w:t>
      </w:r>
      <w:r w:rsidRPr="00137038">
        <w:rPr>
          <w:rFonts w:ascii="Times New Roman" w:eastAsia="Times New Roman" w:hAnsi="Times New Roman" w:cs="Times New Roman"/>
          <w:i/>
          <w:sz w:val="24"/>
          <w:lang w:eastAsia="tr-TR"/>
        </w:rPr>
        <w:t xml:space="preserve"> (</w:t>
      </w:r>
      <w:proofErr w:type="spellStart"/>
      <w:r w:rsidRPr="00137038">
        <w:rPr>
          <w:rFonts w:ascii="Times New Roman" w:eastAsia="Times New Roman" w:hAnsi="Times New Roman" w:cs="Times New Roman"/>
          <w:i/>
          <w:sz w:val="24"/>
          <w:lang w:eastAsia="tr-TR"/>
        </w:rPr>
        <w:t>evolving</w:t>
      </w:r>
      <w:proofErr w:type="spellEnd"/>
      <w:r w:rsidRPr="00137038">
        <w:rPr>
          <w:rFonts w:ascii="Times New Roman" w:eastAsia="Times New Roman" w:hAnsi="Times New Roman" w:cs="Times New Roman"/>
          <w:i/>
          <w:sz w:val="24"/>
          <w:lang w:eastAsia="tr-TR"/>
        </w:rPr>
        <w:t xml:space="preserve"> </w:t>
      </w:r>
      <w:proofErr w:type="spellStart"/>
      <w:r w:rsidRPr="00137038">
        <w:rPr>
          <w:rFonts w:ascii="Times New Roman" w:eastAsia="Times New Roman" w:hAnsi="Times New Roman" w:cs="Times New Roman"/>
          <w:i/>
          <w:sz w:val="24"/>
          <w:lang w:eastAsia="tr-TR"/>
        </w:rPr>
        <w:t>responsibilities</w:t>
      </w:r>
      <w:proofErr w:type="spellEnd"/>
      <w:r w:rsidRPr="00137038">
        <w:rPr>
          <w:rFonts w:ascii="Times New Roman" w:eastAsia="Times New Roman" w:hAnsi="Times New Roman" w:cs="Times New Roman"/>
          <w:sz w:val="24"/>
          <w:lang w:eastAsia="tr-TR"/>
        </w:rPr>
        <w:t xml:space="preserve">) kavramını ortaya koymuştur. Bu ayrım 2020 sonrası anlaşmanın temel prensiplerinin yanı sıra, ulusal katkıların amacı ve düzeyi ve ülkelerin üstelenecekleri sorumluluklara ilişkin farklılaşmaya yönelik tartışmalarda da kendini göstermiştir. Zira gelişmekte olan ülkeler bu farklılaşmanın Sözleşme ekleri temel alınarak belirlenmesi gerektiğini savunurken gelişmiş ülkeler ise bu eklerin geçerliliğini yitirdiğini, bu nedenle iklim değişikliğiyle mücadelede gelişen sorumluluklar göz önüne alınarak tüm ülkelerin ulusal şartları </w:t>
      </w:r>
      <w:proofErr w:type="gramStart"/>
      <w:r w:rsidRPr="00137038">
        <w:rPr>
          <w:rFonts w:ascii="Times New Roman" w:eastAsia="Times New Roman" w:hAnsi="Times New Roman" w:cs="Times New Roman"/>
          <w:sz w:val="24"/>
          <w:lang w:eastAsia="tr-TR"/>
        </w:rPr>
        <w:t>dahilinde</w:t>
      </w:r>
      <w:proofErr w:type="gramEnd"/>
      <w:r w:rsidRPr="00137038">
        <w:rPr>
          <w:rFonts w:ascii="Times New Roman" w:eastAsia="Times New Roman" w:hAnsi="Times New Roman" w:cs="Times New Roman"/>
          <w:sz w:val="24"/>
          <w:lang w:eastAsia="tr-TR"/>
        </w:rPr>
        <w:t xml:space="preserve"> sorumluluk üstlenmesi gerektiğini belirtmişlerdir.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Taraf ülkeler arasında keskin tutum farklılığının öne çıktığı bir diğer konu ise şeffaflık olmuştur. Bu çerçevede AB’nin yanı sıra Norveç, İsviçre gibi ülkeler gelişmekte olan ülkelere sağlanan yardımların kullanımı ve bu yardımlar kullanılarak yapılan </w:t>
      </w:r>
      <w:proofErr w:type="gramStart"/>
      <w:r w:rsidRPr="00137038">
        <w:rPr>
          <w:rFonts w:ascii="Times New Roman" w:eastAsia="Times New Roman" w:hAnsi="Times New Roman" w:cs="Times New Roman"/>
          <w:sz w:val="24"/>
          <w:lang w:eastAsia="tr-TR"/>
        </w:rPr>
        <w:t>emisyon</w:t>
      </w:r>
      <w:proofErr w:type="gram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azaltımı</w:t>
      </w:r>
      <w:proofErr w:type="spellEnd"/>
      <w:r w:rsidRPr="00137038">
        <w:rPr>
          <w:rFonts w:ascii="Times New Roman" w:eastAsia="Times New Roman" w:hAnsi="Times New Roman" w:cs="Times New Roman"/>
          <w:sz w:val="24"/>
          <w:lang w:eastAsia="tr-TR"/>
        </w:rPr>
        <w:t xml:space="preserve"> ve uyum çalışmalarının sonuçlarının raporlanması ve bu çerçevede ortak emisyon hesaplama ve raporlama (</w:t>
      </w:r>
      <w:proofErr w:type="spellStart"/>
      <w:r w:rsidRPr="00137038">
        <w:rPr>
          <w:rFonts w:ascii="Times New Roman" w:eastAsia="Times New Roman" w:hAnsi="Times New Roman" w:cs="Times New Roman"/>
          <w:sz w:val="24"/>
          <w:lang w:eastAsia="tr-TR"/>
        </w:rPr>
        <w:t>Monitoring</w:t>
      </w:r>
      <w:proofErr w:type="spell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Reporting</w:t>
      </w:r>
      <w:proofErr w:type="spell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and</w:t>
      </w:r>
      <w:proofErr w:type="spell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Verification</w:t>
      </w:r>
      <w:proofErr w:type="spellEnd"/>
      <w:r w:rsidRPr="00137038">
        <w:rPr>
          <w:rFonts w:ascii="Times New Roman" w:eastAsia="Times New Roman" w:hAnsi="Times New Roman" w:cs="Times New Roman"/>
          <w:sz w:val="24"/>
          <w:lang w:eastAsia="tr-TR"/>
        </w:rPr>
        <w:t>) kurallarının benimsenmesi gereğine vurgu yapmaktadırlar. Çin başta olmak üzere gelişmekte olan ülkeler ise Sözleşme’nin “ortak fakat farklılaştırılmış sorumluluklar” ilkesine dikkat çekerek şeffaflığa ilişkin sorumlulukların gelişmiş ve gelişmekte olan ülkeler için farklı olması gerektiğini savunmaktadır. Öte yandan en az gelişmiş ülkeler ise kapasite eksikliklerine dikkat çekerek ortak MRV kurallarının uygulanabilmesinin ancak yardımlarla mümkün olabileceğini ortaya koymaktadırlar.</w:t>
      </w:r>
      <w:r w:rsidRPr="00137038">
        <w:rPr>
          <w:rFonts w:ascii="Times New Roman" w:eastAsia="Times New Roman" w:hAnsi="Times New Roman" w:cs="Times New Roman"/>
          <w:color w:val="00B050"/>
          <w:sz w:val="24"/>
          <w:lang w:eastAsia="tr-TR"/>
        </w:rPr>
        <w:t xml:space="preserve">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Ulusal katkılara ilişkin tartışmalarda dikkat çeken önemli tutum farklılığı ise gelişmekte olan ülkelere sağlanacak yardımlar ve uyuma yönelik faaliyetlere ilişkin hususlardadır. Bu çerçevede Afrika Grubu, G77 ve Arap Grubu ülkeleri </w:t>
      </w:r>
      <w:proofErr w:type="spellStart"/>
      <w:r w:rsidRPr="00137038">
        <w:rPr>
          <w:rFonts w:ascii="Times New Roman" w:eastAsia="Times New Roman" w:hAnsi="Times New Roman" w:cs="Times New Roman"/>
          <w:sz w:val="24"/>
          <w:lang w:eastAsia="tr-TR"/>
        </w:rPr>
        <w:t>azaltım</w:t>
      </w:r>
      <w:proofErr w:type="spellEnd"/>
      <w:r w:rsidRPr="00137038">
        <w:rPr>
          <w:rFonts w:ascii="Times New Roman" w:eastAsia="Times New Roman" w:hAnsi="Times New Roman" w:cs="Times New Roman"/>
          <w:sz w:val="24"/>
          <w:lang w:eastAsia="tr-TR"/>
        </w:rPr>
        <w:t xml:space="preserve"> ve uyum faaliyetlerine yönelik finansman, </w:t>
      </w:r>
      <w:r w:rsidRPr="00137038">
        <w:rPr>
          <w:rFonts w:ascii="Times New Roman" w:eastAsia="Times New Roman" w:hAnsi="Times New Roman" w:cs="Times New Roman"/>
          <w:sz w:val="24"/>
          <w:lang w:eastAsia="tr-TR"/>
        </w:rPr>
        <w:lastRenderedPageBreak/>
        <w:t xml:space="preserve">kapasite geliştirme ve teknoloji transferi yardımlarına ilişkin bir güvence alabilmek için bu konuların ulusal katkılara ilişkin kararda yer almasında ısrarcı olmuşlardır. Diğer taraftan AB, ABD, Avustralya ve Yeni Zelanda gibi ülkeler ulusal katkıların yalnızca </w:t>
      </w:r>
      <w:proofErr w:type="spellStart"/>
      <w:r w:rsidRPr="00137038">
        <w:rPr>
          <w:rFonts w:ascii="Times New Roman" w:eastAsia="Times New Roman" w:hAnsi="Times New Roman" w:cs="Times New Roman"/>
          <w:sz w:val="24"/>
          <w:lang w:eastAsia="tr-TR"/>
        </w:rPr>
        <w:t>azaltım</w:t>
      </w:r>
      <w:proofErr w:type="spellEnd"/>
      <w:r w:rsidRPr="00137038">
        <w:rPr>
          <w:rFonts w:ascii="Times New Roman" w:eastAsia="Times New Roman" w:hAnsi="Times New Roman" w:cs="Times New Roman"/>
          <w:sz w:val="24"/>
          <w:lang w:eastAsia="tr-TR"/>
        </w:rPr>
        <w:t xml:space="preserve"> odaklı olması gerektiğini bu konuların anlaşma metnine ilişkin tartışmalarda ele alınması gerektiğini savunmuşlardır.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2020 yılı sonrasına yönelik anlaşma metninin amaç bölümüne ilişkin tartışmalarda ise Norveç, Güney Afrika ve Latin Amerika ülkeleri küresel sıcaklık artışının sanayi devrimi öncesi seviyelerine kıyasla 2 derece düzeyinde bir artışla sınırlandırılması hedefine dikkat çekmişlerdir. Söz konusu ülkeler bu amacın ortak bir </w:t>
      </w:r>
      <w:proofErr w:type="gramStart"/>
      <w:r w:rsidRPr="00137038">
        <w:rPr>
          <w:rFonts w:ascii="Times New Roman" w:eastAsia="Times New Roman" w:hAnsi="Times New Roman" w:cs="Times New Roman"/>
          <w:sz w:val="24"/>
          <w:lang w:eastAsia="tr-TR"/>
        </w:rPr>
        <w:t>emisyon</w:t>
      </w:r>
      <w:proofErr w:type="gram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azaltım</w:t>
      </w:r>
      <w:proofErr w:type="spellEnd"/>
      <w:r w:rsidRPr="00137038">
        <w:rPr>
          <w:rFonts w:ascii="Times New Roman" w:eastAsia="Times New Roman" w:hAnsi="Times New Roman" w:cs="Times New Roman"/>
          <w:sz w:val="24"/>
          <w:lang w:eastAsia="tr-TR"/>
        </w:rPr>
        <w:t xml:space="preserve"> hedefiyle somutlaştırılması gereğine işaret etmişler, bu çerçevede çeşitli önerilerde bulunmuşlardır. Öte yandan Bolivya küresel bir karbon bütçesi oluşturulmasını önermiş; Çin ise anlaşmanın amaç bölümünde ortak fakat farklılaştırılmış sorumluluklar ilkesine vurgu yapılması konusunda ısrarcı olmuştur.   </w:t>
      </w:r>
    </w:p>
    <w:p w:rsidR="00137038" w:rsidRPr="00137038" w:rsidRDefault="00137038" w:rsidP="00137038">
      <w:pPr>
        <w:spacing w:after="0" w:line="360" w:lineRule="auto"/>
        <w:rPr>
          <w:rFonts w:ascii="Times New Roman" w:eastAsia="Times New Roman" w:hAnsi="Times New Roman" w:cs="Times New Roman"/>
          <w:sz w:val="24"/>
          <w:lang w:eastAsia="tr-TR"/>
        </w:rPr>
      </w:pPr>
    </w:p>
    <w:p w:rsidR="00137038" w:rsidRPr="00137038" w:rsidRDefault="00137038" w:rsidP="00137038">
      <w:pPr>
        <w:numPr>
          <w:ilvl w:val="0"/>
          <w:numId w:val="23"/>
        </w:numPr>
        <w:spacing w:after="0" w:line="360" w:lineRule="auto"/>
        <w:jc w:val="both"/>
        <w:rPr>
          <w:rFonts w:ascii="Times New Roman" w:eastAsia="Times New Roman" w:hAnsi="Times New Roman" w:cs="Times New Roman"/>
          <w:b/>
          <w:sz w:val="28"/>
          <w:lang w:eastAsia="tr-TR"/>
        </w:rPr>
      </w:pPr>
      <w:r w:rsidRPr="00137038">
        <w:rPr>
          <w:rFonts w:ascii="Times New Roman" w:eastAsia="Times New Roman" w:hAnsi="Times New Roman" w:cs="Times New Roman"/>
          <w:b/>
          <w:sz w:val="28"/>
          <w:lang w:eastAsia="tr-TR"/>
        </w:rPr>
        <w:t xml:space="preserve">Türkiye’nin Durumu </w:t>
      </w:r>
    </w:p>
    <w:p w:rsidR="00137038" w:rsidRPr="00137038" w:rsidRDefault="00137038" w:rsidP="00137038">
      <w:pPr>
        <w:spacing w:after="0" w:line="360" w:lineRule="auto"/>
        <w:jc w:val="both"/>
        <w:rPr>
          <w:rFonts w:ascii="Times New Roman" w:eastAsia="Times New Roman" w:hAnsi="Times New Roman" w:cs="Times New Roman"/>
          <w:b/>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Sözleşme kapsamında gelişmiş ülkelerle birlikte Ek 1 listesi içerisinde yer alan, ancak “özel konumu” tanınmış olması dolayısıyla hali hazırda </w:t>
      </w:r>
      <w:proofErr w:type="gramStart"/>
      <w:r w:rsidRPr="00137038">
        <w:rPr>
          <w:rFonts w:ascii="Times New Roman" w:eastAsia="Times New Roman" w:hAnsi="Times New Roman" w:cs="Times New Roman"/>
          <w:sz w:val="24"/>
          <w:lang w:eastAsia="tr-TR"/>
        </w:rPr>
        <w:t>emisyon</w:t>
      </w:r>
      <w:proofErr w:type="gram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azaltım</w:t>
      </w:r>
      <w:proofErr w:type="spellEnd"/>
      <w:r w:rsidRPr="00137038">
        <w:rPr>
          <w:rFonts w:ascii="Times New Roman" w:eastAsia="Times New Roman" w:hAnsi="Times New Roman" w:cs="Times New Roman"/>
          <w:sz w:val="24"/>
          <w:lang w:eastAsia="tr-TR"/>
        </w:rPr>
        <w:t xml:space="preserve"> yükümlülüğü bulunmayan Türkiye, Sözleşme kapsamındaki yardım mekanizmalarından yararlanamamaktadır. Bu durumu değiştirmek amacıyla Yürütme Yardımcı Organı (SBI) içerisinde uzun yıllardır sürdürülen müzakereler kapsamında bu yıl bir sonuca ulaşılmıştır. Bu çerçevede SBI içerisinde Türkiye’ye yönelik olarak alınan kararda ülkemizin en az 2020 yılına kadar olmak üzere Sözleşme kapsamındaki mekanizmalardan yararlanmasının yolu açılmıştır</w:t>
      </w:r>
      <w:r w:rsidRPr="00137038">
        <w:rPr>
          <w:rFonts w:ascii="Times New Roman" w:eastAsia="Times New Roman" w:hAnsi="Times New Roman" w:cs="Times New Roman"/>
          <w:sz w:val="24"/>
          <w:szCs w:val="24"/>
          <w:vertAlign w:val="superscript"/>
        </w:rPr>
        <w:footnoteReference w:id="6"/>
      </w:r>
      <w:r w:rsidRPr="00137038">
        <w:rPr>
          <w:rFonts w:ascii="Times New Roman" w:eastAsia="Times New Roman" w:hAnsi="Times New Roman" w:cs="Times New Roman"/>
          <w:sz w:val="24"/>
          <w:lang w:eastAsia="tr-TR"/>
        </w:rPr>
        <w:t xml:space="preserve">.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Bununla birlikte söz konusu kararda yer alan “en az 2020 yılına kadar” ifadesi ülkemizin Yeşil İklim Fonu’ndan yararlanıp yararlanamayacağına ilişkin kesin bir yargıda bulunmayı zorlaştırmaktadır. Bu çerçevede resmi heyet üyeleri tarafından gerçekleştirilen temaslar sonucunda, konuya ilişkin olarak Yeşil İklim Fonu Yönetim Kurulu’nca bir karar alınması gerektiği anlaşılmıştır.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Ulusal katkıların içeriğine yönelik müzakerelerde ise Türkiye Sözleşme eklerine atıf yapılmasına karşı çıkmış, her ülkenin kendi ulusal şartları doğrultusunda sorumluluk alması gereğine vurgu yapmıştır.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numPr>
          <w:ilvl w:val="0"/>
          <w:numId w:val="24"/>
        </w:numPr>
        <w:spacing w:after="0" w:line="360" w:lineRule="auto"/>
        <w:jc w:val="both"/>
        <w:rPr>
          <w:rFonts w:ascii="Times New Roman" w:eastAsia="Times New Roman" w:hAnsi="Times New Roman" w:cs="Times New Roman"/>
          <w:b/>
          <w:sz w:val="28"/>
          <w:lang w:eastAsia="tr-TR"/>
        </w:rPr>
      </w:pPr>
      <w:r w:rsidRPr="00137038">
        <w:rPr>
          <w:rFonts w:ascii="Times New Roman" w:eastAsia="Times New Roman" w:hAnsi="Times New Roman" w:cs="Times New Roman"/>
          <w:b/>
          <w:sz w:val="28"/>
          <w:lang w:eastAsia="tr-TR"/>
        </w:rPr>
        <w:lastRenderedPageBreak/>
        <w:t xml:space="preserve">Yan etkinlikler </w:t>
      </w:r>
    </w:p>
    <w:p w:rsidR="00137038" w:rsidRPr="00137038" w:rsidRDefault="00137038" w:rsidP="00137038">
      <w:pPr>
        <w:spacing w:after="0" w:line="360" w:lineRule="auto"/>
        <w:ind w:left="1080"/>
        <w:jc w:val="both"/>
        <w:rPr>
          <w:rFonts w:ascii="Times New Roman" w:eastAsia="Times New Roman" w:hAnsi="Times New Roman" w:cs="Times New Roman"/>
          <w:b/>
          <w:sz w:val="28"/>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Konferans süresince devam eden müzakerelere paralel olarak özel sektör, akademi ve uluslararası kuruluşların yer aldığı bir dizi yan etkinlik gerçekleştirilmiştir. Bu çerçevede 4 Aralık tarihinde Avrupa Komisyonu, Akdeniz için Birlik Sekretaryası, Birleşmiş Milletler Çevre Programı ve Tunus Hükümeti tarafından “İklim Değişikliği için Akdeniz Bölgesi’nde Güçlendirilmiş İşbirliği” başlıklı bir yan etkinlik düzenlenmiştir. Söz konusu yan etkinlik kapsamında Çevre ve Şehircilik Bakanlığı Müsteşar Yardımcısı Prof. Dr. Mehmet Emin BİRPINAR Türkiye’nin iklim değişikliğiyle mücadeleye yönelik faaliyetlerine ilişkin bir sunum gerçekleştirmiştir. Konferans süresince gerçekleştirilen yan etkinliklerden önem arz ettiği düşünülen ikisinde öne çıkan hususlar aşağıda özetlenmiştir.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b/>
          <w:sz w:val="24"/>
          <w:u w:val="single"/>
          <w:lang w:eastAsia="tr-TR"/>
        </w:rPr>
      </w:pPr>
      <w:r w:rsidRPr="00137038">
        <w:rPr>
          <w:rFonts w:ascii="Times New Roman" w:eastAsia="Times New Roman" w:hAnsi="Times New Roman" w:cs="Times New Roman"/>
          <w:b/>
          <w:sz w:val="24"/>
          <w:u w:val="single"/>
          <w:lang w:eastAsia="tr-TR"/>
        </w:rPr>
        <w:t xml:space="preserve">“2015 Paris Anlaşması </w:t>
      </w:r>
      <w:proofErr w:type="gramStart"/>
      <w:r w:rsidRPr="00137038">
        <w:rPr>
          <w:rFonts w:ascii="Times New Roman" w:eastAsia="Times New Roman" w:hAnsi="Times New Roman" w:cs="Times New Roman"/>
          <w:b/>
          <w:sz w:val="24"/>
          <w:u w:val="single"/>
          <w:lang w:eastAsia="tr-TR"/>
        </w:rPr>
        <w:t>dahilinde</w:t>
      </w:r>
      <w:proofErr w:type="gramEnd"/>
      <w:r w:rsidRPr="00137038">
        <w:rPr>
          <w:rFonts w:ascii="Times New Roman" w:eastAsia="Times New Roman" w:hAnsi="Times New Roman" w:cs="Times New Roman"/>
          <w:b/>
          <w:sz w:val="24"/>
          <w:u w:val="single"/>
          <w:lang w:eastAsia="tr-TR"/>
        </w:rPr>
        <w:t xml:space="preserve"> iklim politikaları arasındaki bağın güçlendirilmesi”</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after="0"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Uluslararası Emisyon Ticareti Birliği (IETA) ve Harvard Üniversitesi Kennedy Yönetişim Okulu tarafından yapılan ve yeni iklim değişikliği rejimine yönelik olarak ulusal politikalar arasındaki bağlantıyı ele alan bir araştırma</w:t>
      </w:r>
      <w:r w:rsidRPr="00137038">
        <w:rPr>
          <w:rFonts w:ascii="Times New Roman" w:eastAsia="Times New Roman" w:hAnsi="Times New Roman" w:cs="Times New Roman"/>
          <w:sz w:val="24"/>
          <w:szCs w:val="24"/>
          <w:vertAlign w:val="superscript"/>
        </w:rPr>
        <w:footnoteReference w:id="7"/>
      </w:r>
      <w:r w:rsidRPr="00137038">
        <w:rPr>
          <w:rFonts w:ascii="Times New Roman" w:eastAsia="Times New Roman" w:hAnsi="Times New Roman" w:cs="Times New Roman"/>
          <w:sz w:val="24"/>
          <w:szCs w:val="24"/>
        </w:rPr>
        <w:t xml:space="preserve"> </w:t>
      </w:r>
      <w:r w:rsidRPr="00137038">
        <w:rPr>
          <w:rFonts w:ascii="Times New Roman" w:eastAsia="Times New Roman" w:hAnsi="Times New Roman" w:cs="Times New Roman"/>
          <w:sz w:val="24"/>
          <w:lang w:eastAsia="tr-TR"/>
        </w:rPr>
        <w:t xml:space="preserve"> IETA ve Arizona Üniversitesi’nin düzenlediği bir yan etkinlikte tanıtılmıştır. Söz konusu araştırmada yeni iklim değişikliği rejiminde birbirinden farklı politika araçları arasında bir bağ kuran esnek bir yaklaşımın benimsenmesinin katılımı artıracağına dikkat çekilmiştir. Bu çerçevede ülkelerin ortaya koyacakları ulusal katkılar dahilindeki </w:t>
      </w:r>
      <w:proofErr w:type="gramStart"/>
      <w:r w:rsidRPr="00137038">
        <w:rPr>
          <w:rFonts w:ascii="Times New Roman" w:eastAsia="Times New Roman" w:hAnsi="Times New Roman" w:cs="Times New Roman"/>
          <w:sz w:val="24"/>
          <w:lang w:eastAsia="tr-TR"/>
        </w:rPr>
        <w:t>emisyon</w:t>
      </w:r>
      <w:proofErr w:type="gram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azaltımlarının</w:t>
      </w:r>
      <w:proofErr w:type="spellEnd"/>
      <w:r w:rsidRPr="00137038">
        <w:rPr>
          <w:rFonts w:ascii="Times New Roman" w:eastAsia="Times New Roman" w:hAnsi="Times New Roman" w:cs="Times New Roman"/>
          <w:sz w:val="24"/>
          <w:lang w:eastAsia="tr-TR"/>
        </w:rPr>
        <w:t xml:space="preserve"> Temiz Kalkınma Mekanizması ve Ortak Yürütme </w:t>
      </w:r>
      <w:proofErr w:type="spellStart"/>
      <w:r w:rsidRPr="00137038">
        <w:rPr>
          <w:rFonts w:ascii="Times New Roman" w:eastAsia="Times New Roman" w:hAnsi="Times New Roman" w:cs="Times New Roman"/>
          <w:sz w:val="24"/>
          <w:lang w:eastAsia="tr-TR"/>
        </w:rPr>
        <w:t>Mekanizması’nda</w:t>
      </w:r>
      <w:proofErr w:type="spellEnd"/>
      <w:r w:rsidRPr="00137038">
        <w:rPr>
          <w:rFonts w:ascii="Times New Roman" w:eastAsia="Times New Roman" w:hAnsi="Times New Roman" w:cs="Times New Roman"/>
          <w:sz w:val="24"/>
          <w:lang w:eastAsia="tr-TR"/>
        </w:rPr>
        <w:t xml:space="preserve"> olduğu gibi kredilendirilmesine ve ticaretinin yapılmasına imkan sağlayacak bir yapının geliştirilebileceği anlatılmıştır. Söz konusu yapının oluşturulabilmesi için ayrıntılı kurallar bütününden ziyade temel prensiplerin belirlenmesine ihtiyaç duyulduğu ifade edilmiş bu çerçevede çifte hesaplamaya engel olmak amacıyla şeffaflık hükümlerinin önem arz ettiği değerlendirilmiştir. </w:t>
      </w:r>
    </w:p>
    <w:p w:rsidR="00137038" w:rsidRPr="00137038" w:rsidRDefault="00137038" w:rsidP="00137038">
      <w:pPr>
        <w:spacing w:after="0" w:line="360" w:lineRule="auto"/>
        <w:jc w:val="both"/>
        <w:rPr>
          <w:rFonts w:ascii="Times New Roman" w:eastAsia="Times New Roman" w:hAnsi="Times New Roman" w:cs="Times New Roman"/>
          <w:sz w:val="24"/>
          <w:lang w:eastAsia="tr-TR"/>
        </w:rPr>
      </w:pPr>
    </w:p>
    <w:p w:rsidR="00137038" w:rsidRPr="00137038" w:rsidRDefault="00137038" w:rsidP="00137038">
      <w:pPr>
        <w:spacing w:line="360" w:lineRule="auto"/>
        <w:rPr>
          <w:rFonts w:ascii="Times New Roman" w:eastAsia="Times New Roman" w:hAnsi="Times New Roman" w:cs="Times New Roman"/>
          <w:b/>
          <w:sz w:val="24"/>
          <w:u w:val="single"/>
          <w:lang w:eastAsia="tr-TR"/>
        </w:rPr>
      </w:pPr>
      <w:r w:rsidRPr="00137038">
        <w:rPr>
          <w:rFonts w:ascii="Times New Roman" w:eastAsia="Times New Roman" w:hAnsi="Times New Roman" w:cs="Times New Roman"/>
          <w:b/>
          <w:sz w:val="24"/>
          <w:u w:val="single"/>
          <w:lang w:eastAsia="tr-TR"/>
        </w:rPr>
        <w:t>“Temiz Fosil Enerji ve Fosil Dışı Enerji Türlerinin Sürdürülebilir Kalkınma Hedeflerini Gerçekleştirmedeki Başarısı “</w:t>
      </w:r>
    </w:p>
    <w:p w:rsidR="00137038" w:rsidRPr="00137038" w:rsidRDefault="00137038" w:rsidP="00137038">
      <w:pPr>
        <w:spacing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Küresel Karbon Tutum ve Depolama Enstitüsü ve Suudi Arabistan işbirliği ile düzenlenen etkinlik kapsamında Meksika, Birleşik Arap Emirlikleri, Suudi Arabistan ve Katar’dan yetkililer karbon </w:t>
      </w:r>
      <w:r w:rsidRPr="00137038">
        <w:rPr>
          <w:rFonts w:ascii="Times New Roman" w:eastAsia="Times New Roman" w:hAnsi="Times New Roman" w:cs="Times New Roman"/>
          <w:sz w:val="24"/>
          <w:lang w:eastAsia="tr-TR"/>
        </w:rPr>
        <w:lastRenderedPageBreak/>
        <w:t>tutum ve depolama, enerji verimliliği, fosil yakıtların CO2den arındırılması vb. alanlarda gerçekleştirilen yatırımlara ilişkin bilgi vermişlerdir.  Etkinlik sırasında Meksika’nın karbon tutum ve depolama teknolojisine</w:t>
      </w:r>
      <w:r w:rsidRPr="00137038">
        <w:rPr>
          <w:rFonts w:ascii="Times New Roman" w:eastAsia="Times New Roman" w:hAnsi="Times New Roman" w:cs="Times New Roman"/>
          <w:color w:val="FF0000"/>
          <w:sz w:val="24"/>
          <w:lang w:eastAsia="tr-TR"/>
        </w:rPr>
        <w:t xml:space="preserve"> </w:t>
      </w:r>
      <w:r w:rsidRPr="00137038">
        <w:rPr>
          <w:rFonts w:ascii="Times New Roman" w:eastAsia="Times New Roman" w:hAnsi="Times New Roman" w:cs="Times New Roman"/>
          <w:sz w:val="24"/>
          <w:lang w:eastAsia="tr-TR"/>
        </w:rPr>
        <w:t>ilişkin pilot uygulamalarını içeren yol haritasının yanı sıra Katar Petrol Şirketi’nin (</w:t>
      </w:r>
      <w:proofErr w:type="spellStart"/>
      <w:r w:rsidRPr="00137038">
        <w:rPr>
          <w:rFonts w:ascii="Times New Roman" w:eastAsia="Times New Roman" w:hAnsi="Times New Roman" w:cs="Times New Roman"/>
          <w:sz w:val="24"/>
          <w:lang w:eastAsia="tr-TR"/>
        </w:rPr>
        <w:t>Quatar</w:t>
      </w:r>
      <w:proofErr w:type="spell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Petroleum</w:t>
      </w:r>
      <w:proofErr w:type="spellEnd"/>
      <w:r w:rsidRPr="00137038">
        <w:rPr>
          <w:rFonts w:ascii="Times New Roman" w:eastAsia="Times New Roman" w:hAnsi="Times New Roman" w:cs="Times New Roman"/>
          <w:sz w:val="24"/>
          <w:lang w:eastAsia="tr-TR"/>
        </w:rPr>
        <w:t xml:space="preserve"> Corporation)  MRV, sera gazı </w:t>
      </w:r>
      <w:proofErr w:type="spellStart"/>
      <w:r w:rsidRPr="00137038">
        <w:rPr>
          <w:rFonts w:ascii="Times New Roman" w:eastAsia="Times New Roman" w:hAnsi="Times New Roman" w:cs="Times New Roman"/>
          <w:sz w:val="24"/>
          <w:lang w:eastAsia="tr-TR"/>
        </w:rPr>
        <w:t>azaltımı</w:t>
      </w:r>
      <w:proofErr w:type="spellEnd"/>
      <w:r w:rsidRPr="00137038">
        <w:rPr>
          <w:rFonts w:ascii="Times New Roman" w:eastAsia="Times New Roman" w:hAnsi="Times New Roman" w:cs="Times New Roman"/>
          <w:sz w:val="24"/>
          <w:lang w:eastAsia="tr-TR"/>
        </w:rPr>
        <w:t xml:space="preserve">, karbon piyasaları, karbon finansmanı ve uyun çalışmaları alanında yaptığı çalışmalara değinilmiştir. Buna ek olarak Suudi Arabistan Petrol şirketinin enerji verimliliği alanında dünya çapında çeşitli araştırma merkezlerinde gerçekleştirmekte olduğu çalışmalar ve Birleşik Arap Emirlikleri’nin karbon tutum ve depolama ve fosil yakıtların kullanımı öncesi karbondan arındırılmasına ilişkin çalışmaları hakkında bilgi verilmiştir. </w:t>
      </w:r>
    </w:p>
    <w:p w:rsidR="00137038" w:rsidRPr="00137038" w:rsidRDefault="00137038" w:rsidP="00137038">
      <w:pPr>
        <w:numPr>
          <w:ilvl w:val="0"/>
          <w:numId w:val="25"/>
        </w:numPr>
        <w:spacing w:after="0" w:line="360" w:lineRule="auto"/>
        <w:jc w:val="both"/>
        <w:rPr>
          <w:rFonts w:ascii="Times New Roman" w:eastAsia="Times New Roman" w:hAnsi="Times New Roman" w:cs="Times New Roman"/>
          <w:b/>
          <w:sz w:val="28"/>
          <w:lang w:eastAsia="tr-TR"/>
        </w:rPr>
      </w:pPr>
      <w:r w:rsidRPr="00137038">
        <w:rPr>
          <w:rFonts w:ascii="Times New Roman" w:eastAsia="Times New Roman" w:hAnsi="Times New Roman" w:cs="Times New Roman"/>
          <w:b/>
          <w:sz w:val="28"/>
          <w:lang w:eastAsia="tr-TR"/>
        </w:rPr>
        <w:t xml:space="preserve">Sonuç </w:t>
      </w:r>
    </w:p>
    <w:p w:rsidR="00137038" w:rsidRPr="00137038" w:rsidRDefault="00137038" w:rsidP="00137038">
      <w:pPr>
        <w:spacing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Beklentiler ve elde edilen sonuçlar karşılaştırıldığında COP 21’in 2015 yılında imzalanması beklenen Paris Anlaşması’na giden yolda ümit vadeden bir adım olduğunu söylemek mümkün olacaktır. Konferans sonucunda ulusal katkıların çerçevesine yönelik bir karar alınmış, GCF ve Varşova </w:t>
      </w:r>
      <w:proofErr w:type="spellStart"/>
      <w:r w:rsidRPr="00137038">
        <w:rPr>
          <w:rFonts w:ascii="Times New Roman" w:eastAsia="Times New Roman" w:hAnsi="Times New Roman" w:cs="Times New Roman"/>
          <w:sz w:val="24"/>
          <w:lang w:eastAsia="tr-TR"/>
        </w:rPr>
        <w:t>Mekanizması’nın</w:t>
      </w:r>
      <w:proofErr w:type="spellEnd"/>
      <w:r w:rsidRPr="00137038">
        <w:rPr>
          <w:rFonts w:ascii="Times New Roman" w:eastAsia="Times New Roman" w:hAnsi="Times New Roman" w:cs="Times New Roman"/>
          <w:sz w:val="24"/>
          <w:lang w:eastAsia="tr-TR"/>
        </w:rPr>
        <w:t xml:space="preserve"> harekete geçirilmesine yönelik adımlar atılmış ve yeni anlaşmaya yönelik müzakere metni üzerinde ilerleme sağlanmıştır. Öte yandan anlaşmanın amacı, şeffaflık, sağlanacak yardımlar vb. konulara ilişkin taraf ülkeler arasındaki tutum farklılıkları yeni iklim rejimine giden yolun uzunluğunu göstermektedir. </w:t>
      </w:r>
    </w:p>
    <w:p w:rsidR="00137038" w:rsidRPr="00137038" w:rsidRDefault="00137038" w:rsidP="00137038">
      <w:pPr>
        <w:spacing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Finansman konusunda kaydedilen gelişmeler değerlendirildiğinde </w:t>
      </w:r>
      <w:proofErr w:type="spellStart"/>
      <w:r w:rsidRPr="00137038">
        <w:rPr>
          <w:rFonts w:ascii="Times New Roman" w:eastAsia="Times New Roman" w:hAnsi="Times New Roman" w:cs="Times New Roman"/>
          <w:sz w:val="24"/>
          <w:lang w:eastAsia="tr-TR"/>
        </w:rPr>
        <w:t>GCF’ye</w:t>
      </w:r>
      <w:proofErr w:type="spellEnd"/>
      <w:r w:rsidRPr="00137038">
        <w:rPr>
          <w:rFonts w:ascii="Times New Roman" w:eastAsia="Times New Roman" w:hAnsi="Times New Roman" w:cs="Times New Roman"/>
          <w:sz w:val="24"/>
          <w:lang w:eastAsia="tr-TR"/>
        </w:rPr>
        <w:t xml:space="preserve"> aktarılması taahhüt edilen kaynak miktarının her ne kadar önemli bir artış kaydetmiş olsa da hedeflenenin çok altında olduğu görülmektedir. İklim finansmanının gelişmekte olan ülkeleri </w:t>
      </w:r>
      <w:proofErr w:type="gramStart"/>
      <w:r w:rsidRPr="00137038">
        <w:rPr>
          <w:rFonts w:ascii="Times New Roman" w:eastAsia="Times New Roman" w:hAnsi="Times New Roman" w:cs="Times New Roman"/>
          <w:sz w:val="24"/>
          <w:lang w:eastAsia="tr-TR"/>
        </w:rPr>
        <w:t>emisyon</w:t>
      </w:r>
      <w:proofErr w:type="gram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azaltımı</w:t>
      </w:r>
      <w:proofErr w:type="spellEnd"/>
      <w:r w:rsidRPr="00137038">
        <w:rPr>
          <w:rFonts w:ascii="Times New Roman" w:eastAsia="Times New Roman" w:hAnsi="Times New Roman" w:cs="Times New Roman"/>
          <w:sz w:val="24"/>
          <w:lang w:eastAsia="tr-TR"/>
        </w:rPr>
        <w:t xml:space="preserve"> konusunda etkin önlem almaya yönlendirmenin bir ön koşulu olduğu anlaşılmaktadır. Bu itibarla </w:t>
      </w:r>
      <w:proofErr w:type="spellStart"/>
      <w:r w:rsidRPr="00137038">
        <w:rPr>
          <w:rFonts w:ascii="Times New Roman" w:eastAsia="Times New Roman" w:hAnsi="Times New Roman" w:cs="Times New Roman"/>
          <w:sz w:val="24"/>
          <w:lang w:eastAsia="tr-TR"/>
        </w:rPr>
        <w:t>GCF’ye</w:t>
      </w:r>
      <w:proofErr w:type="spellEnd"/>
      <w:r w:rsidRPr="00137038">
        <w:rPr>
          <w:rFonts w:ascii="Times New Roman" w:eastAsia="Times New Roman" w:hAnsi="Times New Roman" w:cs="Times New Roman"/>
          <w:sz w:val="24"/>
          <w:lang w:eastAsia="tr-TR"/>
        </w:rPr>
        <w:t xml:space="preserve"> aktarılacak kaynak miktarı büyük önem taşımaktadır. </w:t>
      </w:r>
    </w:p>
    <w:p w:rsidR="00137038" w:rsidRPr="00137038" w:rsidRDefault="00137038" w:rsidP="00137038">
      <w:pPr>
        <w:spacing w:line="360" w:lineRule="auto"/>
        <w:jc w:val="both"/>
        <w:rPr>
          <w:rFonts w:ascii="Times New Roman" w:eastAsia="Times New Roman" w:hAnsi="Times New Roman" w:cs="Times New Roman"/>
          <w:sz w:val="24"/>
          <w:lang w:eastAsia="tr-TR"/>
        </w:rPr>
      </w:pPr>
      <w:r w:rsidRPr="00137038">
        <w:rPr>
          <w:rFonts w:ascii="Times New Roman" w:eastAsia="Times New Roman" w:hAnsi="Times New Roman" w:cs="Times New Roman"/>
          <w:sz w:val="24"/>
          <w:lang w:eastAsia="tr-TR"/>
        </w:rPr>
        <w:t xml:space="preserve">Alınan kararın ulusal katkıların çerçevesini ortaya koyan bölümleri incelendiğinde ise </w:t>
      </w:r>
      <w:proofErr w:type="gramStart"/>
      <w:r w:rsidRPr="00137038">
        <w:rPr>
          <w:rFonts w:ascii="Times New Roman" w:eastAsia="Times New Roman" w:hAnsi="Times New Roman" w:cs="Times New Roman"/>
          <w:sz w:val="24"/>
          <w:lang w:eastAsia="tr-TR"/>
        </w:rPr>
        <w:t>emisyon</w:t>
      </w:r>
      <w:proofErr w:type="gram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azaltımına</w:t>
      </w:r>
      <w:proofErr w:type="spellEnd"/>
      <w:r w:rsidRPr="00137038">
        <w:rPr>
          <w:rFonts w:ascii="Times New Roman" w:eastAsia="Times New Roman" w:hAnsi="Times New Roman" w:cs="Times New Roman"/>
          <w:sz w:val="24"/>
          <w:lang w:eastAsia="tr-TR"/>
        </w:rPr>
        <w:t xml:space="preserve"> yönelik olarak atılacak adımların ülkelerin kendi şartları dahilinde belirlenmesine imkan tanıyan esnek bir yapı öngördüğü anlaşılmaktadır. Kyoto Protokolü’ne kıyasla oldukça farklı bir yaklaşımı barındıran bu karar sonucunda ortaya çıkacak yapının daha kapsayıcı olmasını beklemek mümkündür. ABD ve Çin’in bu yıl ilk kez </w:t>
      </w:r>
      <w:proofErr w:type="gramStart"/>
      <w:r w:rsidRPr="00137038">
        <w:rPr>
          <w:rFonts w:ascii="Times New Roman" w:eastAsia="Times New Roman" w:hAnsi="Times New Roman" w:cs="Times New Roman"/>
          <w:sz w:val="24"/>
          <w:lang w:eastAsia="tr-TR"/>
        </w:rPr>
        <w:t>emisyon</w:t>
      </w:r>
      <w:proofErr w:type="gramEnd"/>
      <w:r w:rsidRPr="00137038">
        <w:rPr>
          <w:rFonts w:ascii="Times New Roman" w:eastAsia="Times New Roman" w:hAnsi="Times New Roman" w:cs="Times New Roman"/>
          <w:sz w:val="24"/>
          <w:lang w:eastAsia="tr-TR"/>
        </w:rPr>
        <w:t xml:space="preserve"> </w:t>
      </w:r>
      <w:proofErr w:type="spellStart"/>
      <w:r w:rsidRPr="00137038">
        <w:rPr>
          <w:rFonts w:ascii="Times New Roman" w:eastAsia="Times New Roman" w:hAnsi="Times New Roman" w:cs="Times New Roman"/>
          <w:sz w:val="24"/>
          <w:lang w:eastAsia="tr-TR"/>
        </w:rPr>
        <w:t>azaltımı</w:t>
      </w:r>
      <w:proofErr w:type="spellEnd"/>
      <w:r w:rsidRPr="00137038">
        <w:rPr>
          <w:rFonts w:ascii="Times New Roman" w:eastAsia="Times New Roman" w:hAnsi="Times New Roman" w:cs="Times New Roman"/>
          <w:sz w:val="24"/>
          <w:lang w:eastAsia="tr-TR"/>
        </w:rPr>
        <w:t xml:space="preserve"> konusunda somut bir bildirimde bulunması bu beklentiyi güçlendirmektedir. Harvard Üniversitesi ve IETA tarafından yapılan çalışma bu bakımdan dikkat çekicidir.</w:t>
      </w:r>
    </w:p>
    <w:p w:rsidR="00137038" w:rsidRPr="00137038" w:rsidRDefault="00137038" w:rsidP="00137038">
      <w:pPr>
        <w:spacing w:line="360" w:lineRule="auto"/>
        <w:jc w:val="right"/>
        <w:rPr>
          <w:rFonts w:ascii="Calibri" w:eastAsia="Calibri" w:hAnsi="Calibri" w:cs="Calibri"/>
          <w:sz w:val="24"/>
          <w:lang w:eastAsia="tr-TR"/>
        </w:rPr>
      </w:pPr>
    </w:p>
    <w:p w:rsidR="00E2383A" w:rsidRPr="00677D7B" w:rsidRDefault="00E2383A" w:rsidP="00137038">
      <w:pPr>
        <w:spacing w:after="0" w:line="360" w:lineRule="auto"/>
        <w:jc w:val="center"/>
        <w:rPr>
          <w:sz w:val="24"/>
          <w:szCs w:val="24"/>
        </w:rPr>
      </w:pPr>
    </w:p>
    <w:sectPr w:rsidR="00E2383A" w:rsidRPr="00677D7B" w:rsidSect="00CA5F1E">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284"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606" w:rsidRDefault="00C13606" w:rsidP="00647CA8">
      <w:pPr>
        <w:spacing w:after="0" w:line="240" w:lineRule="auto"/>
      </w:pPr>
      <w:r>
        <w:separator/>
      </w:r>
    </w:p>
  </w:endnote>
  <w:endnote w:type="continuationSeparator" w:id="0">
    <w:p w:rsidR="00C13606" w:rsidRDefault="00C13606"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D41" w:rsidRDefault="008A0D41">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213264"/>
      <w:docPartObj>
        <w:docPartGallery w:val="Page Numbers (Bottom of Page)"/>
        <w:docPartUnique/>
      </w:docPartObj>
    </w:sdtPr>
    <w:sdtContent>
      <w:bookmarkStart w:id="0" w:name="_GoBack" w:displacedByCustomXml="prev"/>
      <w:bookmarkEnd w:id="0" w:displacedByCustomXml="prev"/>
      <w:p w:rsidR="008A0D41" w:rsidRDefault="008A0D41">
        <w:pPr>
          <w:pStyle w:val="Altbilgi"/>
          <w:jc w:val="right"/>
        </w:pPr>
        <w:r>
          <w:fldChar w:fldCharType="begin"/>
        </w:r>
        <w:r>
          <w:instrText>PAGE   \* MERGEFORMAT</w:instrText>
        </w:r>
        <w:r>
          <w:fldChar w:fldCharType="separate"/>
        </w:r>
        <w:r>
          <w:rPr>
            <w:noProof/>
          </w:rPr>
          <w:t>1</w:t>
        </w:r>
        <w:r>
          <w:fldChar w:fldCharType="end"/>
        </w:r>
      </w:p>
    </w:sdtContent>
  </w:sdt>
  <w:p w:rsidR="00C13606" w:rsidRDefault="00C13606">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D41" w:rsidRDefault="008A0D41">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606" w:rsidRDefault="00C13606" w:rsidP="00647CA8">
      <w:pPr>
        <w:spacing w:after="0" w:line="240" w:lineRule="auto"/>
      </w:pPr>
      <w:r>
        <w:separator/>
      </w:r>
    </w:p>
  </w:footnote>
  <w:footnote w:type="continuationSeparator" w:id="0">
    <w:p w:rsidR="00C13606" w:rsidRDefault="00C13606" w:rsidP="00647CA8">
      <w:pPr>
        <w:spacing w:after="0" w:line="240" w:lineRule="auto"/>
      </w:pPr>
      <w:r>
        <w:continuationSeparator/>
      </w:r>
    </w:p>
  </w:footnote>
  <w:footnote w:id="1">
    <w:p w:rsidR="00137038" w:rsidRDefault="00137038" w:rsidP="00137038">
      <w:pPr>
        <w:pStyle w:val="DipnotMetni"/>
      </w:pPr>
      <w:r>
        <w:rPr>
          <w:rStyle w:val="DipnotBavurusu"/>
        </w:rPr>
        <w:footnoteRef/>
      </w:r>
      <w:r>
        <w:t xml:space="preserve">  </w:t>
      </w:r>
      <w:hyperlink r:id="rId1" w:history="1">
        <w:proofErr w:type="spellStart"/>
        <w:r w:rsidRPr="00045DED">
          <w:rPr>
            <w:rStyle w:val="Kpr"/>
          </w:rPr>
          <w:t>Decision</w:t>
        </w:r>
        <w:proofErr w:type="spellEnd"/>
        <w:r w:rsidRPr="00045DED">
          <w:rPr>
            <w:rStyle w:val="Kpr"/>
          </w:rPr>
          <w:t xml:space="preserve"> – /CP.20, Lima Call </w:t>
        </w:r>
        <w:proofErr w:type="spellStart"/>
        <w:r w:rsidRPr="00045DED">
          <w:rPr>
            <w:rStyle w:val="Kpr"/>
          </w:rPr>
          <w:t>for</w:t>
        </w:r>
        <w:proofErr w:type="spellEnd"/>
        <w:r w:rsidRPr="00045DED">
          <w:rPr>
            <w:rStyle w:val="Kpr"/>
          </w:rPr>
          <w:t xml:space="preserve"> </w:t>
        </w:r>
        <w:proofErr w:type="spellStart"/>
        <w:r w:rsidRPr="00045DED">
          <w:rPr>
            <w:rStyle w:val="Kpr"/>
          </w:rPr>
          <w:t>Climate</w:t>
        </w:r>
        <w:proofErr w:type="spellEnd"/>
        <w:r w:rsidRPr="00045DED">
          <w:rPr>
            <w:rStyle w:val="Kpr"/>
          </w:rPr>
          <w:t xml:space="preserve"> Action</w:t>
        </w:r>
      </w:hyperlink>
    </w:p>
  </w:footnote>
  <w:footnote w:id="2">
    <w:p w:rsidR="00137038" w:rsidRPr="00E071A5" w:rsidRDefault="00137038" w:rsidP="00137038">
      <w:pPr>
        <w:pStyle w:val="DipnotMetni"/>
      </w:pPr>
      <w:r>
        <w:rPr>
          <w:rStyle w:val="DipnotBavurusu"/>
        </w:rPr>
        <w:footnoteRef/>
      </w:r>
      <w:r>
        <w:t xml:space="preserve"> </w:t>
      </w:r>
      <w:hyperlink r:id="rId2" w:history="1">
        <w:proofErr w:type="spellStart"/>
        <w:r w:rsidRPr="00E071A5">
          <w:rPr>
            <w:rStyle w:val="Kpr"/>
          </w:rPr>
          <w:t>Schalatek</w:t>
        </w:r>
        <w:proofErr w:type="spellEnd"/>
        <w:r w:rsidRPr="00E071A5">
          <w:rPr>
            <w:rStyle w:val="Kpr"/>
          </w:rPr>
          <w:t xml:space="preserve">, </w:t>
        </w:r>
        <w:proofErr w:type="spellStart"/>
        <w:r w:rsidRPr="00E071A5">
          <w:rPr>
            <w:rStyle w:val="Kpr"/>
          </w:rPr>
          <w:t>Liane</w:t>
        </w:r>
        <w:proofErr w:type="spellEnd"/>
        <w:r w:rsidRPr="00E071A5">
          <w:rPr>
            <w:rStyle w:val="Kpr"/>
          </w:rPr>
          <w:t xml:space="preserve">, </w:t>
        </w:r>
        <w:proofErr w:type="spellStart"/>
        <w:r w:rsidRPr="00E071A5">
          <w:rPr>
            <w:rStyle w:val="Kpr"/>
          </w:rPr>
          <w:t>Nakhooda</w:t>
        </w:r>
        <w:proofErr w:type="spellEnd"/>
        <w:r w:rsidRPr="00E071A5">
          <w:rPr>
            <w:rStyle w:val="Kpr"/>
          </w:rPr>
          <w:t xml:space="preserve">, </w:t>
        </w:r>
        <w:proofErr w:type="spellStart"/>
        <w:r w:rsidRPr="00E071A5">
          <w:rPr>
            <w:rStyle w:val="Kpr"/>
          </w:rPr>
          <w:t>Smita</w:t>
        </w:r>
        <w:proofErr w:type="spellEnd"/>
        <w:r w:rsidRPr="00E071A5">
          <w:rPr>
            <w:rStyle w:val="Kpr"/>
          </w:rPr>
          <w:t xml:space="preserve">, </w:t>
        </w:r>
        <w:proofErr w:type="spellStart"/>
        <w:r w:rsidRPr="00E071A5">
          <w:rPr>
            <w:rStyle w:val="Kpr"/>
          </w:rPr>
          <w:t>Charlene</w:t>
        </w:r>
        <w:proofErr w:type="spellEnd"/>
        <w:r w:rsidRPr="00E071A5">
          <w:rPr>
            <w:rStyle w:val="Kpr"/>
          </w:rPr>
          <w:t>, Watson, “</w:t>
        </w:r>
        <w:proofErr w:type="spellStart"/>
        <w:r w:rsidRPr="00E071A5">
          <w:rPr>
            <w:rStyle w:val="Kpr"/>
          </w:rPr>
          <w:t>Climate</w:t>
        </w:r>
        <w:proofErr w:type="spellEnd"/>
        <w:r w:rsidRPr="00E071A5">
          <w:rPr>
            <w:rStyle w:val="Kpr"/>
          </w:rPr>
          <w:t xml:space="preserve"> </w:t>
        </w:r>
        <w:proofErr w:type="spellStart"/>
        <w:r w:rsidRPr="00E071A5">
          <w:rPr>
            <w:rStyle w:val="Kpr"/>
          </w:rPr>
          <w:t>Funds</w:t>
        </w:r>
        <w:proofErr w:type="spellEnd"/>
        <w:r w:rsidRPr="00E071A5">
          <w:rPr>
            <w:rStyle w:val="Kpr"/>
          </w:rPr>
          <w:t xml:space="preserve"> Update, </w:t>
        </w:r>
        <w:proofErr w:type="spellStart"/>
        <w:r w:rsidRPr="00E071A5">
          <w:rPr>
            <w:rStyle w:val="Kpr"/>
          </w:rPr>
          <w:t>The</w:t>
        </w:r>
        <w:proofErr w:type="spellEnd"/>
        <w:r w:rsidRPr="00E071A5">
          <w:rPr>
            <w:rStyle w:val="Kpr"/>
          </w:rPr>
          <w:t xml:space="preserve"> </w:t>
        </w:r>
        <w:proofErr w:type="spellStart"/>
        <w:r w:rsidRPr="00E071A5">
          <w:rPr>
            <w:rStyle w:val="Kpr"/>
          </w:rPr>
          <w:t>Green</w:t>
        </w:r>
        <w:proofErr w:type="spellEnd"/>
        <w:r w:rsidRPr="00E071A5">
          <w:rPr>
            <w:rStyle w:val="Kpr"/>
          </w:rPr>
          <w:t xml:space="preserve"> </w:t>
        </w:r>
        <w:proofErr w:type="spellStart"/>
        <w:r w:rsidRPr="00E071A5">
          <w:rPr>
            <w:rStyle w:val="Kpr"/>
          </w:rPr>
          <w:t>Climate</w:t>
        </w:r>
        <w:proofErr w:type="spellEnd"/>
        <w:r w:rsidRPr="00E071A5">
          <w:rPr>
            <w:rStyle w:val="Kpr"/>
          </w:rPr>
          <w:t xml:space="preserve"> </w:t>
        </w:r>
        <w:proofErr w:type="spellStart"/>
        <w:r w:rsidRPr="00E071A5">
          <w:rPr>
            <w:rStyle w:val="Kpr"/>
          </w:rPr>
          <w:t>Fund</w:t>
        </w:r>
        <w:proofErr w:type="spellEnd"/>
        <w:r w:rsidRPr="00E071A5">
          <w:rPr>
            <w:rStyle w:val="Kpr"/>
          </w:rPr>
          <w:t xml:space="preserve">” </w:t>
        </w:r>
        <w:proofErr w:type="spellStart"/>
        <w:r w:rsidRPr="00E071A5">
          <w:rPr>
            <w:rStyle w:val="Kpr"/>
          </w:rPr>
          <w:t>Heinrich</w:t>
        </w:r>
        <w:proofErr w:type="spellEnd"/>
        <w:r w:rsidRPr="00E071A5">
          <w:rPr>
            <w:rStyle w:val="Kpr"/>
          </w:rPr>
          <w:t xml:space="preserve"> </w:t>
        </w:r>
        <w:proofErr w:type="spellStart"/>
        <w:r w:rsidRPr="00E071A5">
          <w:rPr>
            <w:rStyle w:val="Kpr"/>
          </w:rPr>
          <w:t>Böll</w:t>
        </w:r>
        <w:proofErr w:type="spellEnd"/>
        <w:r w:rsidRPr="00E071A5">
          <w:rPr>
            <w:rStyle w:val="Kpr"/>
          </w:rPr>
          <w:t xml:space="preserve"> </w:t>
        </w:r>
        <w:proofErr w:type="spellStart"/>
        <w:r w:rsidRPr="00E071A5">
          <w:rPr>
            <w:rStyle w:val="Kpr"/>
          </w:rPr>
          <w:t>Stiftung</w:t>
        </w:r>
        <w:proofErr w:type="spellEnd"/>
        <w:r w:rsidRPr="00E071A5">
          <w:rPr>
            <w:rStyle w:val="Kpr"/>
          </w:rPr>
          <w:t xml:space="preserve"> North </w:t>
        </w:r>
        <w:proofErr w:type="spellStart"/>
        <w:r w:rsidRPr="00E071A5">
          <w:rPr>
            <w:rStyle w:val="Kpr"/>
          </w:rPr>
          <w:t>America</w:t>
        </w:r>
        <w:proofErr w:type="spellEnd"/>
        <w:r w:rsidRPr="00E071A5">
          <w:rPr>
            <w:rStyle w:val="Kpr"/>
          </w:rPr>
          <w:t xml:space="preserve">, 11 </w:t>
        </w:r>
        <w:proofErr w:type="spellStart"/>
        <w:r w:rsidRPr="00E071A5">
          <w:rPr>
            <w:rStyle w:val="Kpr"/>
          </w:rPr>
          <w:t>December</w:t>
        </w:r>
        <w:proofErr w:type="spellEnd"/>
        <w:r w:rsidRPr="00E071A5">
          <w:rPr>
            <w:rStyle w:val="Kpr"/>
          </w:rPr>
          <w:t xml:space="preserve"> 2014</w:t>
        </w:r>
      </w:hyperlink>
    </w:p>
  </w:footnote>
  <w:footnote w:id="3">
    <w:p w:rsidR="00137038" w:rsidRPr="00045DED" w:rsidRDefault="00137038" w:rsidP="00137038">
      <w:pPr>
        <w:pStyle w:val="DipnotMetni"/>
      </w:pPr>
      <w:r>
        <w:rPr>
          <w:rStyle w:val="DipnotBavurusu"/>
        </w:rPr>
        <w:footnoteRef/>
      </w:r>
      <w:r>
        <w:t xml:space="preserve"> </w:t>
      </w:r>
      <w:hyperlink r:id="rId3" w:history="1">
        <w:proofErr w:type="spellStart"/>
        <w:r w:rsidRPr="00045DED">
          <w:rPr>
            <w:rStyle w:val="Kpr"/>
          </w:rPr>
          <w:t>Decision</w:t>
        </w:r>
        <w:proofErr w:type="spellEnd"/>
        <w:r w:rsidRPr="00045DED">
          <w:rPr>
            <w:rStyle w:val="Kpr"/>
          </w:rPr>
          <w:t xml:space="preserve"> CP 20, Report of </w:t>
        </w:r>
        <w:proofErr w:type="spellStart"/>
        <w:r w:rsidRPr="00045DED">
          <w:rPr>
            <w:rStyle w:val="Kpr"/>
          </w:rPr>
          <w:t>the</w:t>
        </w:r>
        <w:proofErr w:type="spellEnd"/>
        <w:r w:rsidRPr="00045DED">
          <w:rPr>
            <w:rStyle w:val="Kpr"/>
          </w:rPr>
          <w:t xml:space="preserve"> </w:t>
        </w:r>
        <w:proofErr w:type="spellStart"/>
        <w:r w:rsidRPr="00045DED">
          <w:rPr>
            <w:rStyle w:val="Kpr"/>
          </w:rPr>
          <w:t>Green</w:t>
        </w:r>
        <w:proofErr w:type="spellEnd"/>
        <w:r w:rsidRPr="00045DED">
          <w:rPr>
            <w:rStyle w:val="Kpr"/>
          </w:rPr>
          <w:t xml:space="preserve"> </w:t>
        </w:r>
        <w:proofErr w:type="spellStart"/>
        <w:r w:rsidRPr="00045DED">
          <w:rPr>
            <w:rStyle w:val="Kpr"/>
          </w:rPr>
          <w:t>Climate</w:t>
        </w:r>
        <w:proofErr w:type="spellEnd"/>
        <w:r w:rsidRPr="00045DED">
          <w:rPr>
            <w:rStyle w:val="Kpr"/>
          </w:rPr>
          <w:t xml:space="preserve"> </w:t>
        </w:r>
        <w:proofErr w:type="spellStart"/>
        <w:r w:rsidRPr="00045DED">
          <w:rPr>
            <w:rStyle w:val="Kpr"/>
          </w:rPr>
          <w:t>Fund</w:t>
        </w:r>
        <w:proofErr w:type="spellEnd"/>
        <w:r w:rsidRPr="00045DED">
          <w:rPr>
            <w:rStyle w:val="Kpr"/>
          </w:rPr>
          <w:t xml:space="preserve"> </w:t>
        </w:r>
        <w:proofErr w:type="spellStart"/>
        <w:r w:rsidRPr="00045DED">
          <w:rPr>
            <w:rStyle w:val="Kpr"/>
          </w:rPr>
          <w:t>to</w:t>
        </w:r>
        <w:proofErr w:type="spellEnd"/>
        <w:r w:rsidRPr="00045DED">
          <w:rPr>
            <w:rStyle w:val="Kpr"/>
          </w:rPr>
          <w:t xml:space="preserve"> </w:t>
        </w:r>
        <w:proofErr w:type="spellStart"/>
        <w:r w:rsidRPr="00045DED">
          <w:rPr>
            <w:rStyle w:val="Kpr"/>
          </w:rPr>
          <w:t>the</w:t>
        </w:r>
        <w:proofErr w:type="spellEnd"/>
        <w:r w:rsidRPr="00045DED">
          <w:rPr>
            <w:rStyle w:val="Kpr"/>
          </w:rPr>
          <w:t xml:space="preserve"> Conference of </w:t>
        </w:r>
        <w:proofErr w:type="spellStart"/>
        <w:r w:rsidRPr="00045DED">
          <w:rPr>
            <w:rStyle w:val="Kpr"/>
          </w:rPr>
          <w:t>the</w:t>
        </w:r>
        <w:proofErr w:type="spellEnd"/>
        <w:r w:rsidRPr="00045DED">
          <w:rPr>
            <w:rStyle w:val="Kpr"/>
          </w:rPr>
          <w:t xml:space="preserve"> </w:t>
        </w:r>
        <w:proofErr w:type="spellStart"/>
        <w:r w:rsidRPr="00045DED">
          <w:rPr>
            <w:rStyle w:val="Kpr"/>
          </w:rPr>
          <w:t>Parties</w:t>
        </w:r>
        <w:proofErr w:type="spellEnd"/>
        <w:r w:rsidRPr="00045DED">
          <w:rPr>
            <w:rStyle w:val="Kpr"/>
          </w:rPr>
          <w:t xml:space="preserve"> </w:t>
        </w:r>
        <w:proofErr w:type="spellStart"/>
        <w:r w:rsidRPr="00045DED">
          <w:rPr>
            <w:rStyle w:val="Kpr"/>
          </w:rPr>
          <w:t>and</w:t>
        </w:r>
        <w:proofErr w:type="spellEnd"/>
        <w:r w:rsidRPr="00045DED">
          <w:rPr>
            <w:rStyle w:val="Kpr"/>
          </w:rPr>
          <w:t xml:space="preserve"> </w:t>
        </w:r>
        <w:proofErr w:type="spellStart"/>
        <w:r w:rsidRPr="00045DED">
          <w:rPr>
            <w:rStyle w:val="Kpr"/>
          </w:rPr>
          <w:t>guidance</w:t>
        </w:r>
        <w:proofErr w:type="spellEnd"/>
        <w:r w:rsidRPr="00045DED">
          <w:rPr>
            <w:rStyle w:val="Kpr"/>
          </w:rPr>
          <w:t xml:space="preserve"> </w:t>
        </w:r>
        <w:proofErr w:type="spellStart"/>
        <w:r w:rsidRPr="00045DED">
          <w:rPr>
            <w:rStyle w:val="Kpr"/>
          </w:rPr>
          <w:t>to</w:t>
        </w:r>
        <w:proofErr w:type="spellEnd"/>
        <w:r w:rsidRPr="00045DED">
          <w:rPr>
            <w:rStyle w:val="Kpr"/>
          </w:rPr>
          <w:t xml:space="preserve"> </w:t>
        </w:r>
        <w:proofErr w:type="spellStart"/>
        <w:r w:rsidRPr="00045DED">
          <w:rPr>
            <w:rStyle w:val="Kpr"/>
          </w:rPr>
          <w:t>the</w:t>
        </w:r>
        <w:proofErr w:type="spellEnd"/>
        <w:r w:rsidRPr="00045DED">
          <w:rPr>
            <w:rStyle w:val="Kpr"/>
          </w:rPr>
          <w:t xml:space="preserve"> </w:t>
        </w:r>
        <w:proofErr w:type="spellStart"/>
        <w:r w:rsidRPr="00045DED">
          <w:rPr>
            <w:rStyle w:val="Kpr"/>
          </w:rPr>
          <w:t>Green</w:t>
        </w:r>
        <w:proofErr w:type="spellEnd"/>
        <w:r w:rsidRPr="00045DED">
          <w:rPr>
            <w:rStyle w:val="Kpr"/>
          </w:rPr>
          <w:t xml:space="preserve"> </w:t>
        </w:r>
        <w:proofErr w:type="spellStart"/>
        <w:r w:rsidRPr="00045DED">
          <w:rPr>
            <w:rStyle w:val="Kpr"/>
          </w:rPr>
          <w:t>Climate</w:t>
        </w:r>
        <w:proofErr w:type="spellEnd"/>
        <w:r w:rsidRPr="00045DED">
          <w:rPr>
            <w:rStyle w:val="Kpr"/>
          </w:rPr>
          <w:t xml:space="preserve"> </w:t>
        </w:r>
        <w:proofErr w:type="spellStart"/>
        <w:r w:rsidRPr="00045DED">
          <w:rPr>
            <w:rStyle w:val="Kpr"/>
          </w:rPr>
          <w:t>Fund</w:t>
        </w:r>
        <w:proofErr w:type="spellEnd"/>
      </w:hyperlink>
      <w:r w:rsidRPr="00045DED">
        <w:cr/>
      </w:r>
    </w:p>
  </w:footnote>
  <w:footnote w:id="4">
    <w:p w:rsidR="00137038" w:rsidRPr="00045DED" w:rsidRDefault="00137038" w:rsidP="00137038">
      <w:pPr>
        <w:pStyle w:val="DipnotMetni"/>
      </w:pPr>
      <w:r>
        <w:rPr>
          <w:rStyle w:val="DipnotBavurusu"/>
        </w:rPr>
        <w:footnoteRef/>
      </w:r>
      <w:r>
        <w:t xml:space="preserve"> </w:t>
      </w:r>
      <w:hyperlink r:id="rId4" w:history="1">
        <w:proofErr w:type="spellStart"/>
        <w:r w:rsidRPr="00045DED">
          <w:rPr>
            <w:rStyle w:val="Kpr"/>
          </w:rPr>
          <w:t>Decision</w:t>
        </w:r>
        <w:proofErr w:type="spellEnd"/>
        <w:r w:rsidRPr="00045DED">
          <w:rPr>
            <w:rStyle w:val="Kpr"/>
          </w:rPr>
          <w:t xml:space="preserve"> -/CP.20, </w:t>
        </w:r>
        <w:proofErr w:type="spellStart"/>
        <w:r w:rsidRPr="00045DED">
          <w:rPr>
            <w:rStyle w:val="Kpr"/>
          </w:rPr>
          <w:t>Warsaw</w:t>
        </w:r>
        <w:proofErr w:type="spellEnd"/>
        <w:r w:rsidRPr="00045DED">
          <w:rPr>
            <w:rStyle w:val="Kpr"/>
          </w:rPr>
          <w:t xml:space="preserve"> International </w:t>
        </w:r>
        <w:proofErr w:type="spellStart"/>
        <w:r w:rsidRPr="00045DED">
          <w:rPr>
            <w:rStyle w:val="Kpr"/>
          </w:rPr>
          <w:t>Mechanism</w:t>
        </w:r>
        <w:proofErr w:type="spellEnd"/>
        <w:r w:rsidRPr="00045DED">
          <w:rPr>
            <w:rStyle w:val="Kpr"/>
          </w:rPr>
          <w:t xml:space="preserve"> </w:t>
        </w:r>
        <w:proofErr w:type="spellStart"/>
        <w:r w:rsidRPr="00045DED">
          <w:rPr>
            <w:rStyle w:val="Kpr"/>
          </w:rPr>
          <w:t>for</w:t>
        </w:r>
        <w:proofErr w:type="spellEnd"/>
        <w:r w:rsidRPr="00045DED">
          <w:rPr>
            <w:rStyle w:val="Kpr"/>
          </w:rPr>
          <w:t xml:space="preserve"> </w:t>
        </w:r>
        <w:proofErr w:type="spellStart"/>
        <w:r w:rsidRPr="00045DED">
          <w:rPr>
            <w:rStyle w:val="Kpr"/>
          </w:rPr>
          <w:t>Loss</w:t>
        </w:r>
        <w:proofErr w:type="spellEnd"/>
        <w:r w:rsidRPr="00045DED">
          <w:rPr>
            <w:rStyle w:val="Kpr"/>
          </w:rPr>
          <w:t xml:space="preserve"> </w:t>
        </w:r>
        <w:proofErr w:type="spellStart"/>
        <w:r w:rsidRPr="00045DED">
          <w:rPr>
            <w:rStyle w:val="Kpr"/>
          </w:rPr>
          <w:t>and</w:t>
        </w:r>
        <w:proofErr w:type="spellEnd"/>
        <w:r w:rsidRPr="00045DED">
          <w:rPr>
            <w:rStyle w:val="Kpr"/>
          </w:rPr>
          <w:t xml:space="preserve"> </w:t>
        </w:r>
        <w:proofErr w:type="spellStart"/>
        <w:r w:rsidRPr="00045DED">
          <w:rPr>
            <w:rStyle w:val="Kpr"/>
          </w:rPr>
          <w:t>Damage</w:t>
        </w:r>
        <w:proofErr w:type="spellEnd"/>
        <w:r w:rsidRPr="00045DED">
          <w:rPr>
            <w:rStyle w:val="Kpr"/>
          </w:rPr>
          <w:t xml:space="preserve"> </w:t>
        </w:r>
        <w:proofErr w:type="spellStart"/>
        <w:r w:rsidRPr="00045DED">
          <w:rPr>
            <w:rStyle w:val="Kpr"/>
          </w:rPr>
          <w:t>associated</w:t>
        </w:r>
        <w:proofErr w:type="spellEnd"/>
        <w:r w:rsidRPr="00045DED">
          <w:rPr>
            <w:rStyle w:val="Kpr"/>
          </w:rPr>
          <w:t xml:space="preserve"> </w:t>
        </w:r>
        <w:proofErr w:type="spellStart"/>
        <w:r w:rsidRPr="00045DED">
          <w:rPr>
            <w:rStyle w:val="Kpr"/>
          </w:rPr>
          <w:t>with</w:t>
        </w:r>
        <w:proofErr w:type="spellEnd"/>
        <w:r w:rsidRPr="00045DED">
          <w:rPr>
            <w:rStyle w:val="Kpr"/>
          </w:rPr>
          <w:t xml:space="preserve"> </w:t>
        </w:r>
        <w:proofErr w:type="spellStart"/>
        <w:r w:rsidRPr="00045DED">
          <w:rPr>
            <w:rStyle w:val="Kpr"/>
          </w:rPr>
          <w:t>Climate</w:t>
        </w:r>
        <w:proofErr w:type="spellEnd"/>
        <w:r w:rsidRPr="00045DED">
          <w:rPr>
            <w:rStyle w:val="Kpr"/>
          </w:rPr>
          <w:t xml:space="preserve"> </w:t>
        </w:r>
        <w:proofErr w:type="spellStart"/>
        <w:r w:rsidRPr="00045DED">
          <w:rPr>
            <w:rStyle w:val="Kpr"/>
          </w:rPr>
          <w:t>Change</w:t>
        </w:r>
        <w:proofErr w:type="spellEnd"/>
        <w:r w:rsidRPr="00045DED">
          <w:rPr>
            <w:rStyle w:val="Kpr"/>
          </w:rPr>
          <w:t xml:space="preserve"> </w:t>
        </w:r>
        <w:proofErr w:type="spellStart"/>
        <w:r w:rsidRPr="00045DED">
          <w:rPr>
            <w:rStyle w:val="Kpr"/>
          </w:rPr>
          <w:t>Impacts</w:t>
        </w:r>
        <w:proofErr w:type="spellEnd"/>
      </w:hyperlink>
    </w:p>
  </w:footnote>
  <w:footnote w:id="5">
    <w:p w:rsidR="00137038" w:rsidRPr="00E62B42" w:rsidRDefault="00137038" w:rsidP="00137038">
      <w:pPr>
        <w:pStyle w:val="DipnotMetni"/>
      </w:pPr>
      <w:r>
        <w:rPr>
          <w:rStyle w:val="DipnotBavurusu"/>
        </w:rPr>
        <w:footnoteRef/>
      </w:r>
      <w:r>
        <w:t xml:space="preserve"> </w:t>
      </w:r>
      <w:hyperlink r:id="rId5" w:history="1">
        <w:r w:rsidRPr="00E62B42">
          <w:rPr>
            <w:rStyle w:val="Kpr"/>
          </w:rPr>
          <w:t>Birleşmiş Milletler İklim Değişikliği Sözleşmesi, 1992, Madde 3-4</w:t>
        </w:r>
      </w:hyperlink>
    </w:p>
  </w:footnote>
  <w:footnote w:id="6">
    <w:p w:rsidR="00137038" w:rsidRPr="00427363" w:rsidRDefault="00137038" w:rsidP="00137038">
      <w:pPr>
        <w:pStyle w:val="DipnotMetni"/>
      </w:pPr>
      <w:r>
        <w:rPr>
          <w:rStyle w:val="DipnotBavurusu"/>
        </w:rPr>
        <w:footnoteRef/>
      </w:r>
      <w:r>
        <w:t xml:space="preserve"> </w:t>
      </w:r>
      <w:hyperlink r:id="rId6" w:history="1">
        <w:proofErr w:type="spellStart"/>
        <w:r w:rsidRPr="00427363">
          <w:rPr>
            <w:rStyle w:val="Kpr"/>
          </w:rPr>
          <w:t>Decision</w:t>
        </w:r>
        <w:proofErr w:type="spellEnd"/>
        <w:r w:rsidRPr="00427363">
          <w:rPr>
            <w:rStyle w:val="Kpr"/>
          </w:rPr>
          <w:t xml:space="preserve"> -/CP.20, </w:t>
        </w:r>
        <w:proofErr w:type="spellStart"/>
        <w:r w:rsidRPr="00427363">
          <w:rPr>
            <w:rStyle w:val="Kpr"/>
          </w:rPr>
          <w:t>Parties</w:t>
        </w:r>
        <w:proofErr w:type="spellEnd"/>
        <w:r w:rsidRPr="00427363">
          <w:rPr>
            <w:rStyle w:val="Kpr"/>
          </w:rPr>
          <w:t xml:space="preserve"> </w:t>
        </w:r>
        <w:proofErr w:type="spellStart"/>
        <w:r w:rsidRPr="00427363">
          <w:rPr>
            <w:rStyle w:val="Kpr"/>
          </w:rPr>
          <w:t>included</w:t>
        </w:r>
        <w:proofErr w:type="spellEnd"/>
        <w:r w:rsidRPr="00427363">
          <w:rPr>
            <w:rStyle w:val="Kpr"/>
          </w:rPr>
          <w:t xml:space="preserve"> in </w:t>
        </w:r>
        <w:proofErr w:type="spellStart"/>
        <w:r w:rsidRPr="00427363">
          <w:rPr>
            <w:rStyle w:val="Kpr"/>
          </w:rPr>
          <w:t>Annex</w:t>
        </w:r>
        <w:proofErr w:type="spellEnd"/>
        <w:r w:rsidRPr="00427363">
          <w:rPr>
            <w:rStyle w:val="Kpr"/>
          </w:rPr>
          <w:t xml:space="preserve"> I </w:t>
        </w:r>
        <w:proofErr w:type="spellStart"/>
        <w:r w:rsidRPr="00427363">
          <w:rPr>
            <w:rStyle w:val="Kpr"/>
          </w:rPr>
          <w:t>to</w:t>
        </w:r>
        <w:proofErr w:type="spellEnd"/>
        <w:r w:rsidRPr="00427363">
          <w:rPr>
            <w:rStyle w:val="Kpr"/>
          </w:rPr>
          <w:t xml:space="preserve"> </w:t>
        </w:r>
        <w:proofErr w:type="spellStart"/>
        <w:r w:rsidRPr="00427363">
          <w:rPr>
            <w:rStyle w:val="Kpr"/>
          </w:rPr>
          <w:t>the</w:t>
        </w:r>
        <w:proofErr w:type="spellEnd"/>
        <w:r w:rsidRPr="00427363">
          <w:rPr>
            <w:rStyle w:val="Kpr"/>
          </w:rPr>
          <w:t xml:space="preserve"> </w:t>
        </w:r>
        <w:proofErr w:type="spellStart"/>
        <w:r w:rsidRPr="00427363">
          <w:rPr>
            <w:rStyle w:val="Kpr"/>
          </w:rPr>
          <w:t>Convention</w:t>
        </w:r>
        <w:proofErr w:type="spellEnd"/>
        <w:r w:rsidRPr="00427363">
          <w:rPr>
            <w:rStyle w:val="Kpr"/>
          </w:rPr>
          <w:t xml:space="preserve"> </w:t>
        </w:r>
        <w:proofErr w:type="spellStart"/>
        <w:r w:rsidRPr="00427363">
          <w:rPr>
            <w:rStyle w:val="Kpr"/>
          </w:rPr>
          <w:t>whose</w:t>
        </w:r>
        <w:proofErr w:type="spellEnd"/>
        <w:r w:rsidRPr="00427363">
          <w:rPr>
            <w:rStyle w:val="Kpr"/>
          </w:rPr>
          <w:t xml:space="preserve"> </w:t>
        </w:r>
        <w:proofErr w:type="spellStart"/>
        <w:r w:rsidRPr="00427363">
          <w:rPr>
            <w:rStyle w:val="Kpr"/>
          </w:rPr>
          <w:t>special</w:t>
        </w:r>
        <w:proofErr w:type="spellEnd"/>
        <w:r w:rsidRPr="00427363">
          <w:rPr>
            <w:rStyle w:val="Kpr"/>
          </w:rPr>
          <w:t xml:space="preserve"> </w:t>
        </w:r>
        <w:proofErr w:type="spellStart"/>
        <w:r w:rsidRPr="00427363">
          <w:rPr>
            <w:rStyle w:val="Kpr"/>
          </w:rPr>
          <w:t>circumstances</w:t>
        </w:r>
        <w:proofErr w:type="spellEnd"/>
        <w:r w:rsidRPr="00427363">
          <w:rPr>
            <w:rStyle w:val="Kpr"/>
          </w:rPr>
          <w:t xml:space="preserve"> </w:t>
        </w:r>
        <w:proofErr w:type="spellStart"/>
        <w:r w:rsidRPr="00427363">
          <w:rPr>
            <w:rStyle w:val="Kpr"/>
          </w:rPr>
          <w:t>are</w:t>
        </w:r>
        <w:proofErr w:type="spellEnd"/>
        <w:r w:rsidRPr="00427363">
          <w:rPr>
            <w:rStyle w:val="Kpr"/>
          </w:rPr>
          <w:t xml:space="preserve"> </w:t>
        </w:r>
        <w:proofErr w:type="spellStart"/>
        <w:r w:rsidRPr="00427363">
          <w:rPr>
            <w:rStyle w:val="Kpr"/>
          </w:rPr>
          <w:t>recognized</w:t>
        </w:r>
        <w:proofErr w:type="spellEnd"/>
        <w:r w:rsidRPr="00427363">
          <w:rPr>
            <w:rStyle w:val="Kpr"/>
          </w:rPr>
          <w:t xml:space="preserve"> </w:t>
        </w:r>
        <w:proofErr w:type="spellStart"/>
        <w:r w:rsidRPr="00427363">
          <w:rPr>
            <w:rStyle w:val="Kpr"/>
          </w:rPr>
          <w:t>by</w:t>
        </w:r>
        <w:proofErr w:type="spellEnd"/>
        <w:r w:rsidRPr="00427363">
          <w:rPr>
            <w:rStyle w:val="Kpr"/>
          </w:rPr>
          <w:t xml:space="preserve"> </w:t>
        </w:r>
        <w:proofErr w:type="spellStart"/>
        <w:r w:rsidRPr="00427363">
          <w:rPr>
            <w:rStyle w:val="Kpr"/>
          </w:rPr>
          <w:t>the</w:t>
        </w:r>
        <w:proofErr w:type="spellEnd"/>
        <w:r w:rsidRPr="00427363">
          <w:rPr>
            <w:rStyle w:val="Kpr"/>
          </w:rPr>
          <w:t xml:space="preserve"> Conference of </w:t>
        </w:r>
        <w:proofErr w:type="spellStart"/>
        <w:r w:rsidRPr="00427363">
          <w:rPr>
            <w:rStyle w:val="Kpr"/>
          </w:rPr>
          <w:t>the</w:t>
        </w:r>
        <w:proofErr w:type="spellEnd"/>
        <w:r w:rsidRPr="00427363">
          <w:rPr>
            <w:rStyle w:val="Kpr"/>
          </w:rPr>
          <w:t xml:space="preserve"> </w:t>
        </w:r>
        <w:proofErr w:type="spellStart"/>
        <w:r w:rsidRPr="00427363">
          <w:rPr>
            <w:rStyle w:val="Kpr"/>
          </w:rPr>
          <w:t>Parties</w:t>
        </w:r>
        <w:proofErr w:type="spellEnd"/>
      </w:hyperlink>
    </w:p>
  </w:footnote>
  <w:footnote w:id="7">
    <w:p w:rsidR="00137038" w:rsidRPr="003830AC" w:rsidRDefault="00137038" w:rsidP="00137038">
      <w:pPr>
        <w:pStyle w:val="DipnotMetni"/>
      </w:pPr>
      <w:r>
        <w:rPr>
          <w:rStyle w:val="DipnotBavurusu"/>
        </w:rPr>
        <w:footnoteRef/>
      </w:r>
      <w:r>
        <w:t xml:space="preserve"> </w:t>
      </w:r>
      <w:hyperlink r:id="rId7" w:history="1">
        <w:proofErr w:type="spellStart"/>
        <w:r w:rsidRPr="00E11AEB">
          <w:rPr>
            <w:rStyle w:val="Kpr"/>
          </w:rPr>
          <w:t>Bodansky</w:t>
        </w:r>
        <w:proofErr w:type="spellEnd"/>
        <w:r w:rsidRPr="00E11AEB">
          <w:rPr>
            <w:rStyle w:val="Kpr"/>
          </w:rPr>
          <w:t xml:space="preserve">, Daniel, </w:t>
        </w:r>
        <w:proofErr w:type="spellStart"/>
        <w:r w:rsidRPr="00E11AEB">
          <w:rPr>
            <w:rStyle w:val="Kpr"/>
          </w:rPr>
          <w:t>Hoedl</w:t>
        </w:r>
        <w:proofErr w:type="spellEnd"/>
        <w:r w:rsidRPr="00E11AEB">
          <w:rPr>
            <w:rStyle w:val="Kpr"/>
          </w:rPr>
          <w:t xml:space="preserve">, </w:t>
        </w:r>
        <w:proofErr w:type="spellStart"/>
        <w:proofErr w:type="gramStart"/>
        <w:r w:rsidRPr="00E11AEB">
          <w:rPr>
            <w:rStyle w:val="Kpr"/>
          </w:rPr>
          <w:t>Seth,Metcalf</w:t>
        </w:r>
        <w:proofErr w:type="spellEnd"/>
        <w:proofErr w:type="gramEnd"/>
        <w:r w:rsidRPr="00E11AEB">
          <w:rPr>
            <w:rStyle w:val="Kpr"/>
          </w:rPr>
          <w:t xml:space="preserve">, </w:t>
        </w:r>
        <w:proofErr w:type="spellStart"/>
        <w:r w:rsidRPr="00E11AEB">
          <w:rPr>
            <w:rStyle w:val="Kpr"/>
          </w:rPr>
          <w:t>Gilbert</w:t>
        </w:r>
        <w:proofErr w:type="spellEnd"/>
        <w:r w:rsidRPr="00E11AEB">
          <w:rPr>
            <w:rStyle w:val="Kpr"/>
          </w:rPr>
          <w:t xml:space="preserve">, </w:t>
        </w:r>
        <w:proofErr w:type="spellStart"/>
        <w:r w:rsidRPr="00E11AEB">
          <w:rPr>
            <w:rStyle w:val="Kpr"/>
          </w:rPr>
          <w:t>Stavins</w:t>
        </w:r>
        <w:proofErr w:type="spellEnd"/>
        <w:r w:rsidRPr="00E11AEB">
          <w:rPr>
            <w:rStyle w:val="Kpr"/>
          </w:rPr>
          <w:t xml:space="preserve"> Robert, “</w:t>
        </w:r>
        <w:proofErr w:type="spellStart"/>
        <w:r w:rsidRPr="00E11AEB">
          <w:rPr>
            <w:rStyle w:val="Kpr"/>
          </w:rPr>
          <w:t>Facilitating</w:t>
        </w:r>
        <w:proofErr w:type="spellEnd"/>
        <w:r w:rsidRPr="00E11AEB">
          <w:rPr>
            <w:rStyle w:val="Kpr"/>
          </w:rPr>
          <w:t xml:space="preserve"> </w:t>
        </w:r>
        <w:proofErr w:type="spellStart"/>
        <w:r w:rsidRPr="00E11AEB">
          <w:rPr>
            <w:rStyle w:val="Kpr"/>
          </w:rPr>
          <w:t>Linkage</w:t>
        </w:r>
        <w:proofErr w:type="spellEnd"/>
        <w:r w:rsidRPr="00E11AEB">
          <w:rPr>
            <w:rStyle w:val="Kpr"/>
          </w:rPr>
          <w:t xml:space="preserve"> of </w:t>
        </w:r>
        <w:proofErr w:type="spellStart"/>
        <w:r w:rsidRPr="00E11AEB">
          <w:rPr>
            <w:rStyle w:val="Kpr"/>
          </w:rPr>
          <w:t>Heterogeneous</w:t>
        </w:r>
        <w:proofErr w:type="spellEnd"/>
        <w:r w:rsidRPr="00E11AEB">
          <w:rPr>
            <w:rStyle w:val="Kpr"/>
          </w:rPr>
          <w:t xml:space="preserve"> </w:t>
        </w:r>
        <w:proofErr w:type="spellStart"/>
        <w:r w:rsidRPr="00E11AEB">
          <w:rPr>
            <w:rStyle w:val="Kpr"/>
          </w:rPr>
          <w:t>Regional</w:t>
        </w:r>
        <w:proofErr w:type="spellEnd"/>
        <w:r w:rsidRPr="00E11AEB">
          <w:rPr>
            <w:rStyle w:val="Kpr"/>
          </w:rPr>
          <w:t xml:space="preserve">, </w:t>
        </w:r>
        <w:proofErr w:type="spellStart"/>
        <w:r w:rsidRPr="00E11AEB">
          <w:rPr>
            <w:rStyle w:val="Kpr"/>
          </w:rPr>
          <w:t>National</w:t>
        </w:r>
        <w:proofErr w:type="spellEnd"/>
        <w:r w:rsidRPr="00E11AEB">
          <w:rPr>
            <w:rStyle w:val="Kpr"/>
          </w:rPr>
          <w:t xml:space="preserve"> </w:t>
        </w:r>
        <w:proofErr w:type="spellStart"/>
        <w:r w:rsidRPr="00E11AEB">
          <w:rPr>
            <w:rStyle w:val="Kpr"/>
          </w:rPr>
          <w:t>and</w:t>
        </w:r>
        <w:proofErr w:type="spellEnd"/>
        <w:r w:rsidRPr="00E11AEB">
          <w:rPr>
            <w:rStyle w:val="Kpr"/>
          </w:rPr>
          <w:t xml:space="preserve"> </w:t>
        </w:r>
        <w:proofErr w:type="spellStart"/>
        <w:r w:rsidRPr="00E11AEB">
          <w:rPr>
            <w:rStyle w:val="Kpr"/>
          </w:rPr>
          <w:t>Sub-National</w:t>
        </w:r>
        <w:proofErr w:type="spellEnd"/>
        <w:r w:rsidRPr="00E11AEB">
          <w:rPr>
            <w:rStyle w:val="Kpr"/>
          </w:rPr>
          <w:t xml:space="preserve"> </w:t>
        </w:r>
        <w:proofErr w:type="spellStart"/>
        <w:r w:rsidRPr="00E11AEB">
          <w:rPr>
            <w:rStyle w:val="Kpr"/>
          </w:rPr>
          <w:t>Climate</w:t>
        </w:r>
        <w:proofErr w:type="spellEnd"/>
        <w:r w:rsidRPr="00E11AEB">
          <w:rPr>
            <w:rStyle w:val="Kpr"/>
          </w:rPr>
          <w:t xml:space="preserve"> </w:t>
        </w:r>
        <w:proofErr w:type="spellStart"/>
        <w:r w:rsidRPr="00E11AEB">
          <w:rPr>
            <w:rStyle w:val="Kpr"/>
          </w:rPr>
          <w:t>Policies</w:t>
        </w:r>
        <w:proofErr w:type="spellEnd"/>
        <w:r w:rsidRPr="00E11AEB">
          <w:rPr>
            <w:rStyle w:val="Kpr"/>
          </w:rPr>
          <w:t xml:space="preserve"> </w:t>
        </w:r>
        <w:proofErr w:type="spellStart"/>
        <w:r w:rsidRPr="00E11AEB">
          <w:rPr>
            <w:rStyle w:val="Kpr"/>
          </w:rPr>
          <w:t>through</w:t>
        </w:r>
        <w:proofErr w:type="spellEnd"/>
        <w:r w:rsidRPr="00E11AEB">
          <w:rPr>
            <w:rStyle w:val="Kpr"/>
          </w:rPr>
          <w:t xml:space="preserve"> a </w:t>
        </w:r>
        <w:proofErr w:type="spellStart"/>
        <w:r w:rsidRPr="00E11AEB">
          <w:rPr>
            <w:rStyle w:val="Kpr"/>
          </w:rPr>
          <w:t>Future</w:t>
        </w:r>
        <w:proofErr w:type="spellEnd"/>
        <w:r w:rsidRPr="00E11AEB">
          <w:rPr>
            <w:rStyle w:val="Kpr"/>
          </w:rPr>
          <w:t xml:space="preserve"> International </w:t>
        </w:r>
        <w:proofErr w:type="spellStart"/>
        <w:r w:rsidRPr="00E11AEB">
          <w:rPr>
            <w:rStyle w:val="Kpr"/>
          </w:rPr>
          <w:t>Agreement</w:t>
        </w:r>
        <w:proofErr w:type="spellEnd"/>
        <w:r w:rsidRPr="00E11AEB">
          <w:rPr>
            <w:rStyle w:val="Kpr"/>
          </w:rPr>
          <w:t xml:space="preserve">” Harvard Project on </w:t>
        </w:r>
        <w:proofErr w:type="spellStart"/>
        <w:r w:rsidRPr="00E11AEB">
          <w:rPr>
            <w:rStyle w:val="Kpr"/>
          </w:rPr>
          <w:t>Climate</w:t>
        </w:r>
        <w:proofErr w:type="spellEnd"/>
        <w:r w:rsidRPr="00E11AEB">
          <w:rPr>
            <w:rStyle w:val="Kpr"/>
          </w:rPr>
          <w:t xml:space="preserve"> </w:t>
        </w:r>
        <w:proofErr w:type="spellStart"/>
        <w:r w:rsidRPr="00E11AEB">
          <w:rPr>
            <w:rStyle w:val="Kpr"/>
          </w:rPr>
          <w:t>Agreements</w:t>
        </w:r>
        <w:proofErr w:type="spellEnd"/>
        <w:r w:rsidRPr="00E11AEB">
          <w:rPr>
            <w:rStyle w:val="Kpr"/>
          </w:rPr>
          <w:t xml:space="preserve">, </w:t>
        </w:r>
        <w:proofErr w:type="spellStart"/>
        <w:r w:rsidRPr="00E11AEB">
          <w:rPr>
            <w:rStyle w:val="Kpr"/>
          </w:rPr>
          <w:t>Belfer</w:t>
        </w:r>
        <w:proofErr w:type="spellEnd"/>
        <w:r w:rsidRPr="00E11AEB">
          <w:rPr>
            <w:rStyle w:val="Kpr"/>
          </w:rPr>
          <w:t xml:space="preserve"> Center </w:t>
        </w:r>
        <w:proofErr w:type="spellStart"/>
        <w:r w:rsidRPr="00E11AEB">
          <w:rPr>
            <w:rStyle w:val="Kpr"/>
          </w:rPr>
          <w:t>for</w:t>
        </w:r>
        <w:proofErr w:type="spellEnd"/>
        <w:r w:rsidRPr="00E11AEB">
          <w:rPr>
            <w:rStyle w:val="Kpr"/>
          </w:rPr>
          <w:t xml:space="preserve"> </w:t>
        </w:r>
        <w:proofErr w:type="spellStart"/>
        <w:r w:rsidRPr="00E11AEB">
          <w:rPr>
            <w:rStyle w:val="Kpr"/>
          </w:rPr>
          <w:t>Science</w:t>
        </w:r>
        <w:proofErr w:type="spellEnd"/>
        <w:r w:rsidRPr="00E11AEB">
          <w:rPr>
            <w:rStyle w:val="Kpr"/>
          </w:rPr>
          <w:t xml:space="preserve"> </w:t>
        </w:r>
        <w:proofErr w:type="spellStart"/>
        <w:r w:rsidRPr="00E11AEB">
          <w:rPr>
            <w:rStyle w:val="Kpr"/>
          </w:rPr>
          <w:t>and</w:t>
        </w:r>
        <w:proofErr w:type="spellEnd"/>
        <w:r w:rsidRPr="00E11AEB">
          <w:rPr>
            <w:rStyle w:val="Kpr"/>
          </w:rPr>
          <w:t xml:space="preserve"> International </w:t>
        </w:r>
        <w:proofErr w:type="spellStart"/>
        <w:r w:rsidRPr="00E11AEB">
          <w:rPr>
            <w:rStyle w:val="Kpr"/>
          </w:rPr>
          <w:t>Affairs</w:t>
        </w:r>
        <w:proofErr w:type="spellEnd"/>
        <w:r w:rsidRPr="00E11AEB">
          <w:rPr>
            <w:rStyle w:val="Kpr"/>
          </w:rPr>
          <w:t xml:space="preserve">, Harvard Kennedy School, </w:t>
        </w:r>
        <w:proofErr w:type="spellStart"/>
        <w:r w:rsidRPr="00E11AEB">
          <w:rPr>
            <w:rStyle w:val="Kpr"/>
          </w:rPr>
          <w:t>November</w:t>
        </w:r>
        <w:proofErr w:type="spellEnd"/>
        <w:r w:rsidRPr="00E11AEB">
          <w:rPr>
            <w:rStyle w:val="Kpr"/>
          </w:rPr>
          <w:t xml:space="preserve"> 2014</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D41" w:rsidRDefault="008A0D41">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606" w:rsidRDefault="00C13606" w:rsidP="00B144A9">
    <w:pPr>
      <w:pStyle w:val="stbilgi"/>
      <w:jc w:val="right"/>
    </w:pPr>
  </w:p>
  <w:p w:rsidR="00C13606" w:rsidRDefault="00C13606" w:rsidP="00CA5F1E">
    <w:pPr>
      <w:pStyle w:val="stbilgi"/>
      <w:jc w:val="center"/>
    </w:pPr>
    <w:r>
      <w:t xml:space="preserve"> </w:t>
    </w:r>
    <w:r>
      <w:rPr>
        <w:noProof/>
        <w:lang w:eastAsia="tr-TR"/>
      </w:rPr>
      <w:drawing>
        <wp:inline distT="0" distB="0" distL="0" distR="0" wp14:anchorId="6AB8DFD2" wp14:editId="516F6217">
          <wp:extent cx="1307869" cy="315883"/>
          <wp:effectExtent l="0" t="0" r="6985" b="8255"/>
          <wp:docPr id="1" name="Resim 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386" cy="316491"/>
                  </a:xfrm>
                  <a:prstGeom prst="rect">
                    <a:avLst/>
                  </a:prstGeom>
                </pic:spPr>
              </pic:pic>
            </a:graphicData>
          </a:graphic>
        </wp:inline>
      </w:drawing>
    </w:r>
    <w:r>
      <w:rPr>
        <w:noProof/>
        <w:lang w:eastAsia="tr-TR"/>
      </w:rPr>
      <mc:AlternateContent>
        <mc:Choice Requires="wps">
          <w:drawing>
            <wp:anchor distT="0" distB="0" distL="114300" distR="114300" simplePos="0" relativeHeight="251661312" behindDoc="0" locked="0" layoutInCell="1" allowOverlap="1" wp14:anchorId="3912EE4A" wp14:editId="264C4FDF">
              <wp:simplePos x="0" y="0"/>
              <wp:positionH relativeFrom="column">
                <wp:posOffset>-1710690</wp:posOffset>
              </wp:positionH>
              <wp:positionV relativeFrom="paragraph">
                <wp:posOffset>3209925</wp:posOffset>
              </wp:positionV>
              <wp:extent cx="765175" cy="0"/>
              <wp:effectExtent l="0" t="0" r="15875" b="19050"/>
              <wp:wrapNone/>
              <wp:docPr id="2" name="Düz Bağlayıcı 2"/>
              <wp:cNvGraphicFramePr/>
              <a:graphic xmlns:a="http://schemas.openxmlformats.org/drawingml/2006/main">
                <a:graphicData uri="http://schemas.microsoft.com/office/word/2010/wordprocessingShape">
                  <wps:wsp>
                    <wps:cNvCnPr/>
                    <wps:spPr>
                      <a:xfrm flipH="1">
                        <a:off x="0" y="0"/>
                        <a:ext cx="765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Düz Bağlayıcı 2" o:spid="_x0000_s1026" style="position:absolute;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" strokecolor="#4579b8 [3044]"/>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D41" w:rsidRDefault="008A0D41">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A46F4"/>
    <w:multiLevelType w:val="multilevel"/>
    <w:tmpl w:val="6B866C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26743F"/>
    <w:multiLevelType w:val="hybridMultilevel"/>
    <w:tmpl w:val="E2542B38"/>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2">
    <w:nsid w:val="081D013E"/>
    <w:multiLevelType w:val="multilevel"/>
    <w:tmpl w:val="AA68C2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7F4166D"/>
    <w:multiLevelType w:val="hybridMultilevel"/>
    <w:tmpl w:val="F54C2C3A"/>
    <w:lvl w:ilvl="0" w:tplc="05F029E0">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1ECA6187"/>
    <w:multiLevelType w:val="hybridMultilevel"/>
    <w:tmpl w:val="450C57E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27116450"/>
    <w:multiLevelType w:val="multilevel"/>
    <w:tmpl w:val="1D0242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9496E8D"/>
    <w:multiLevelType w:val="multilevel"/>
    <w:tmpl w:val="D298D3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56D30B0"/>
    <w:multiLevelType w:val="multilevel"/>
    <w:tmpl w:val="DCECFFB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7"/>
      <w:numFmt w:val="bullet"/>
      <w:lvlText w:val="-"/>
      <w:lvlJc w:val="left"/>
      <w:pPr>
        <w:ind w:left="1440" w:hanging="360"/>
      </w:pPr>
      <w:rPr>
        <w:rFonts w:ascii="Times New Roman" w:eastAsia="Times New Roman" w:hAnsi="Times New Roman" w:cs="Times New Roman"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4941181D"/>
    <w:multiLevelType w:val="multilevel"/>
    <w:tmpl w:val="9A36A2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A52F5D"/>
    <w:multiLevelType w:val="multilevel"/>
    <w:tmpl w:val="672459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BB240E0"/>
    <w:multiLevelType w:val="multilevel"/>
    <w:tmpl w:val="3708A9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68868B1"/>
    <w:multiLevelType w:val="multilevel"/>
    <w:tmpl w:val="1BCCB1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8207BF9"/>
    <w:multiLevelType w:val="multilevel"/>
    <w:tmpl w:val="AB3E08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4D1796A"/>
    <w:multiLevelType w:val="multilevel"/>
    <w:tmpl w:val="45D459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7A26D58"/>
    <w:multiLevelType w:val="hybridMultilevel"/>
    <w:tmpl w:val="166EC00A"/>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5">
    <w:nsid w:val="69AD4F08"/>
    <w:multiLevelType w:val="hybridMultilevel"/>
    <w:tmpl w:val="CF5EF63C"/>
    <w:lvl w:ilvl="0" w:tplc="956008E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6BBD78E0"/>
    <w:multiLevelType w:val="multilevel"/>
    <w:tmpl w:val="E02EDE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F624B8E"/>
    <w:multiLevelType w:val="multilevel"/>
    <w:tmpl w:val="97922F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425108E"/>
    <w:multiLevelType w:val="multilevel"/>
    <w:tmpl w:val="9580CE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6A60D32"/>
    <w:multiLevelType w:val="hybridMultilevel"/>
    <w:tmpl w:val="BAD29A92"/>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20">
    <w:nsid w:val="76CE1058"/>
    <w:multiLevelType w:val="multilevel"/>
    <w:tmpl w:val="53C8B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83144A3"/>
    <w:multiLevelType w:val="hybridMultilevel"/>
    <w:tmpl w:val="B00E83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794B0B8B"/>
    <w:multiLevelType w:val="hybridMultilevel"/>
    <w:tmpl w:val="1758FFC4"/>
    <w:lvl w:ilvl="0" w:tplc="041F0001">
      <w:start w:val="1"/>
      <w:numFmt w:val="bullet"/>
      <w:lvlText w:val=""/>
      <w:lvlJc w:val="left"/>
      <w:pPr>
        <w:ind w:left="1494" w:hanging="360"/>
      </w:pPr>
      <w:rPr>
        <w:rFonts w:ascii="Symbol" w:hAnsi="Symbol" w:hint="default"/>
      </w:rPr>
    </w:lvl>
    <w:lvl w:ilvl="1" w:tplc="041F0003" w:tentative="1">
      <w:start w:val="1"/>
      <w:numFmt w:val="bullet"/>
      <w:lvlText w:val="o"/>
      <w:lvlJc w:val="left"/>
      <w:pPr>
        <w:ind w:left="2214" w:hanging="360"/>
      </w:pPr>
      <w:rPr>
        <w:rFonts w:ascii="Courier New" w:hAnsi="Courier New" w:cs="Courier New" w:hint="default"/>
      </w:rPr>
    </w:lvl>
    <w:lvl w:ilvl="2" w:tplc="041F0005" w:tentative="1">
      <w:start w:val="1"/>
      <w:numFmt w:val="bullet"/>
      <w:lvlText w:val=""/>
      <w:lvlJc w:val="left"/>
      <w:pPr>
        <w:ind w:left="2934" w:hanging="360"/>
      </w:pPr>
      <w:rPr>
        <w:rFonts w:ascii="Wingdings" w:hAnsi="Wingdings" w:hint="default"/>
      </w:rPr>
    </w:lvl>
    <w:lvl w:ilvl="3" w:tplc="041F0001" w:tentative="1">
      <w:start w:val="1"/>
      <w:numFmt w:val="bullet"/>
      <w:lvlText w:val=""/>
      <w:lvlJc w:val="left"/>
      <w:pPr>
        <w:ind w:left="3654" w:hanging="360"/>
      </w:pPr>
      <w:rPr>
        <w:rFonts w:ascii="Symbol" w:hAnsi="Symbol" w:hint="default"/>
      </w:rPr>
    </w:lvl>
    <w:lvl w:ilvl="4" w:tplc="041F0003" w:tentative="1">
      <w:start w:val="1"/>
      <w:numFmt w:val="bullet"/>
      <w:lvlText w:val="o"/>
      <w:lvlJc w:val="left"/>
      <w:pPr>
        <w:ind w:left="4374" w:hanging="360"/>
      </w:pPr>
      <w:rPr>
        <w:rFonts w:ascii="Courier New" w:hAnsi="Courier New" w:cs="Courier New" w:hint="default"/>
      </w:rPr>
    </w:lvl>
    <w:lvl w:ilvl="5" w:tplc="041F0005" w:tentative="1">
      <w:start w:val="1"/>
      <w:numFmt w:val="bullet"/>
      <w:lvlText w:val=""/>
      <w:lvlJc w:val="left"/>
      <w:pPr>
        <w:ind w:left="5094" w:hanging="360"/>
      </w:pPr>
      <w:rPr>
        <w:rFonts w:ascii="Wingdings" w:hAnsi="Wingdings" w:hint="default"/>
      </w:rPr>
    </w:lvl>
    <w:lvl w:ilvl="6" w:tplc="041F0001" w:tentative="1">
      <w:start w:val="1"/>
      <w:numFmt w:val="bullet"/>
      <w:lvlText w:val=""/>
      <w:lvlJc w:val="left"/>
      <w:pPr>
        <w:ind w:left="5814" w:hanging="360"/>
      </w:pPr>
      <w:rPr>
        <w:rFonts w:ascii="Symbol" w:hAnsi="Symbol" w:hint="default"/>
      </w:rPr>
    </w:lvl>
    <w:lvl w:ilvl="7" w:tplc="041F0003" w:tentative="1">
      <w:start w:val="1"/>
      <w:numFmt w:val="bullet"/>
      <w:lvlText w:val="o"/>
      <w:lvlJc w:val="left"/>
      <w:pPr>
        <w:ind w:left="6534" w:hanging="360"/>
      </w:pPr>
      <w:rPr>
        <w:rFonts w:ascii="Courier New" w:hAnsi="Courier New" w:cs="Courier New" w:hint="default"/>
      </w:rPr>
    </w:lvl>
    <w:lvl w:ilvl="8" w:tplc="041F0005" w:tentative="1">
      <w:start w:val="1"/>
      <w:numFmt w:val="bullet"/>
      <w:lvlText w:val=""/>
      <w:lvlJc w:val="left"/>
      <w:pPr>
        <w:ind w:left="7254" w:hanging="360"/>
      </w:pPr>
      <w:rPr>
        <w:rFonts w:ascii="Wingdings" w:hAnsi="Wingdings" w:hint="default"/>
      </w:rPr>
    </w:lvl>
  </w:abstractNum>
  <w:abstractNum w:abstractNumId="23">
    <w:nsid w:val="7A0D1BD3"/>
    <w:multiLevelType w:val="multilevel"/>
    <w:tmpl w:val="5A1A2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F9F3AE4"/>
    <w:multiLevelType w:val="multilevel"/>
    <w:tmpl w:val="FF98ED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19"/>
  </w:num>
  <w:num w:numId="3">
    <w:abstractNumId w:val="21"/>
  </w:num>
  <w:num w:numId="4">
    <w:abstractNumId w:val="7"/>
  </w:num>
  <w:num w:numId="5">
    <w:abstractNumId w:val="4"/>
  </w:num>
  <w:num w:numId="6">
    <w:abstractNumId w:val="3"/>
  </w:num>
  <w:num w:numId="7">
    <w:abstractNumId w:val="22"/>
  </w:num>
  <w:num w:numId="8">
    <w:abstractNumId w:val="14"/>
  </w:num>
  <w:num w:numId="9">
    <w:abstractNumId w:val="15"/>
  </w:num>
  <w:num w:numId="10">
    <w:abstractNumId w:val="2"/>
  </w:num>
  <w:num w:numId="11">
    <w:abstractNumId w:val="24"/>
  </w:num>
  <w:num w:numId="12">
    <w:abstractNumId w:val="8"/>
  </w:num>
  <w:num w:numId="13">
    <w:abstractNumId w:val="10"/>
  </w:num>
  <w:num w:numId="14">
    <w:abstractNumId w:val="12"/>
  </w:num>
  <w:num w:numId="15">
    <w:abstractNumId w:val="20"/>
  </w:num>
  <w:num w:numId="16">
    <w:abstractNumId w:val="17"/>
  </w:num>
  <w:num w:numId="17">
    <w:abstractNumId w:val="0"/>
  </w:num>
  <w:num w:numId="18">
    <w:abstractNumId w:val="11"/>
  </w:num>
  <w:num w:numId="19">
    <w:abstractNumId w:val="13"/>
  </w:num>
  <w:num w:numId="20">
    <w:abstractNumId w:val="16"/>
  </w:num>
  <w:num w:numId="21">
    <w:abstractNumId w:val="6"/>
  </w:num>
  <w:num w:numId="22">
    <w:abstractNumId w:val="18"/>
  </w:num>
  <w:num w:numId="23">
    <w:abstractNumId w:val="23"/>
  </w:num>
  <w:num w:numId="24">
    <w:abstractNumId w:val="9"/>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121"/>
    <w:rsid w:val="00085B92"/>
    <w:rsid w:val="000C0469"/>
    <w:rsid w:val="000C36AA"/>
    <w:rsid w:val="000C65B9"/>
    <w:rsid w:val="000D08A5"/>
    <w:rsid w:val="00125791"/>
    <w:rsid w:val="00137038"/>
    <w:rsid w:val="00176965"/>
    <w:rsid w:val="001B5ADA"/>
    <w:rsid w:val="001D361B"/>
    <w:rsid w:val="001F520A"/>
    <w:rsid w:val="00211BC6"/>
    <w:rsid w:val="00214E22"/>
    <w:rsid w:val="002174D4"/>
    <w:rsid w:val="0022013B"/>
    <w:rsid w:val="002402EE"/>
    <w:rsid w:val="002656D4"/>
    <w:rsid w:val="00271121"/>
    <w:rsid w:val="00394C35"/>
    <w:rsid w:val="003B4627"/>
    <w:rsid w:val="00487DDD"/>
    <w:rsid w:val="004B5F6F"/>
    <w:rsid w:val="004D6FEC"/>
    <w:rsid w:val="00527CD0"/>
    <w:rsid w:val="00546DF2"/>
    <w:rsid w:val="005557D9"/>
    <w:rsid w:val="00580FE6"/>
    <w:rsid w:val="00593B85"/>
    <w:rsid w:val="005A0E40"/>
    <w:rsid w:val="005A70B6"/>
    <w:rsid w:val="005C7055"/>
    <w:rsid w:val="005F39D6"/>
    <w:rsid w:val="00647CA8"/>
    <w:rsid w:val="00677D7B"/>
    <w:rsid w:val="006D5346"/>
    <w:rsid w:val="00700AE8"/>
    <w:rsid w:val="007303A6"/>
    <w:rsid w:val="00814F68"/>
    <w:rsid w:val="00834DA9"/>
    <w:rsid w:val="00846A1C"/>
    <w:rsid w:val="0088322D"/>
    <w:rsid w:val="008979A0"/>
    <w:rsid w:val="008A0D41"/>
    <w:rsid w:val="008D339B"/>
    <w:rsid w:val="0091698A"/>
    <w:rsid w:val="00970A2F"/>
    <w:rsid w:val="00994753"/>
    <w:rsid w:val="00994924"/>
    <w:rsid w:val="009C0C42"/>
    <w:rsid w:val="009D2D1C"/>
    <w:rsid w:val="00A5052B"/>
    <w:rsid w:val="00A7024D"/>
    <w:rsid w:val="00A91176"/>
    <w:rsid w:val="00AC3FAC"/>
    <w:rsid w:val="00AD2843"/>
    <w:rsid w:val="00B144A9"/>
    <w:rsid w:val="00B2047F"/>
    <w:rsid w:val="00B972C3"/>
    <w:rsid w:val="00BE7869"/>
    <w:rsid w:val="00C10769"/>
    <w:rsid w:val="00C13606"/>
    <w:rsid w:val="00C24F7D"/>
    <w:rsid w:val="00CA5F1E"/>
    <w:rsid w:val="00CB10EA"/>
    <w:rsid w:val="00D17DF8"/>
    <w:rsid w:val="00DD4CE0"/>
    <w:rsid w:val="00E2383A"/>
    <w:rsid w:val="00E44214"/>
    <w:rsid w:val="00F157BC"/>
    <w:rsid w:val="00F1764E"/>
    <w:rsid w:val="00F54E6B"/>
    <w:rsid w:val="00F572F5"/>
    <w:rsid w:val="00F96E85"/>
    <w:rsid w:val="00FC0CC6"/>
    <w:rsid w:val="00FC10F5"/>
    <w:rsid w:val="00FE7B16"/>
    <w:rsid w:val="00FF33F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BC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paragraph" w:styleId="ListeParagraf">
    <w:name w:val="List Paragraph"/>
    <w:basedOn w:val="Normal"/>
    <w:uiPriority w:val="34"/>
    <w:qFormat/>
    <w:rsid w:val="00211BC6"/>
    <w:pPr>
      <w:ind w:left="720"/>
      <w:contextualSpacing/>
    </w:pPr>
  </w:style>
  <w:style w:type="character" w:styleId="Kpr">
    <w:name w:val="Hyperlink"/>
    <w:basedOn w:val="VarsaylanParagrafYazTipi"/>
    <w:unhideWhenUsed/>
    <w:rsid w:val="00211BC6"/>
    <w:rPr>
      <w:color w:val="0000FF" w:themeColor="hyperlink"/>
      <w:u w:val="single"/>
    </w:rPr>
  </w:style>
  <w:style w:type="paragraph" w:styleId="DipnotMetni">
    <w:name w:val="footnote text"/>
    <w:basedOn w:val="Normal"/>
    <w:link w:val="DipnotMetniChar"/>
    <w:uiPriority w:val="99"/>
    <w:semiHidden/>
    <w:unhideWhenUsed/>
    <w:rsid w:val="00211BC6"/>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211BC6"/>
    <w:rPr>
      <w:sz w:val="20"/>
      <w:szCs w:val="20"/>
    </w:rPr>
  </w:style>
  <w:style w:type="character" w:styleId="DipnotBavurusu">
    <w:name w:val="footnote reference"/>
    <w:basedOn w:val="VarsaylanParagrafYazTipi"/>
    <w:unhideWhenUsed/>
    <w:rsid w:val="00211BC6"/>
    <w:rPr>
      <w:vertAlign w:val="superscript"/>
    </w:rPr>
  </w:style>
  <w:style w:type="character" w:styleId="zlenenKpr">
    <w:name w:val="FollowedHyperlink"/>
    <w:basedOn w:val="VarsaylanParagrafYazTipi"/>
    <w:uiPriority w:val="99"/>
    <w:semiHidden/>
    <w:unhideWhenUsed/>
    <w:rsid w:val="00994753"/>
    <w:rPr>
      <w:color w:val="800080" w:themeColor="followedHyperlink"/>
      <w:u w:val="single"/>
    </w:rPr>
  </w:style>
  <w:style w:type="paragraph" w:styleId="SonnotMetni">
    <w:name w:val="endnote text"/>
    <w:basedOn w:val="Normal"/>
    <w:link w:val="SonnotMetniChar"/>
    <w:uiPriority w:val="99"/>
    <w:semiHidden/>
    <w:unhideWhenUsed/>
    <w:rsid w:val="00B972C3"/>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B972C3"/>
    <w:rPr>
      <w:sz w:val="20"/>
      <w:szCs w:val="20"/>
    </w:rPr>
  </w:style>
  <w:style w:type="character" w:styleId="SonnotBavurusu">
    <w:name w:val="endnote reference"/>
    <w:basedOn w:val="VarsaylanParagrafYazTipi"/>
    <w:uiPriority w:val="99"/>
    <w:semiHidden/>
    <w:unhideWhenUsed/>
    <w:rsid w:val="00B972C3"/>
    <w:rPr>
      <w:vertAlign w:val="superscript"/>
    </w:rPr>
  </w:style>
  <w:style w:type="paragraph" w:styleId="KonuBal">
    <w:name w:val="Title"/>
    <w:basedOn w:val="Normal"/>
    <w:next w:val="Normal"/>
    <w:link w:val="KonuBalChar"/>
    <w:uiPriority w:val="10"/>
    <w:qFormat/>
    <w:rsid w:val="00CA5F1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CA5F1E"/>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CA5F1E"/>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CA5F1E"/>
    <w:rPr>
      <w:rFonts w:asciiTheme="majorHAnsi" w:eastAsiaTheme="majorEastAsia" w:hAnsiTheme="majorHAnsi" w:cstheme="majorBidi"/>
      <w:i/>
      <w:iCs/>
      <w:color w:val="4F81BD" w:themeColor="accent1"/>
      <w:spacing w:val="15"/>
      <w:sz w:val="24"/>
      <w:szCs w:val="24"/>
      <w:lang w:eastAsia="tr-TR"/>
    </w:rPr>
  </w:style>
  <w:style w:type="paragraph" w:styleId="AralkYok">
    <w:name w:val="No Spacing"/>
    <w:link w:val="AralkYokChar"/>
    <w:uiPriority w:val="1"/>
    <w:qFormat/>
    <w:rsid w:val="00CA5F1E"/>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CA5F1E"/>
    <w:rPr>
      <w:rFonts w:eastAsiaTheme="minorEastAsia"/>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BC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paragraph" w:styleId="ListeParagraf">
    <w:name w:val="List Paragraph"/>
    <w:basedOn w:val="Normal"/>
    <w:uiPriority w:val="34"/>
    <w:qFormat/>
    <w:rsid w:val="00211BC6"/>
    <w:pPr>
      <w:ind w:left="720"/>
      <w:contextualSpacing/>
    </w:pPr>
  </w:style>
  <w:style w:type="character" w:styleId="Kpr">
    <w:name w:val="Hyperlink"/>
    <w:basedOn w:val="VarsaylanParagrafYazTipi"/>
    <w:unhideWhenUsed/>
    <w:rsid w:val="00211BC6"/>
    <w:rPr>
      <w:color w:val="0000FF" w:themeColor="hyperlink"/>
      <w:u w:val="single"/>
    </w:rPr>
  </w:style>
  <w:style w:type="paragraph" w:styleId="DipnotMetni">
    <w:name w:val="footnote text"/>
    <w:basedOn w:val="Normal"/>
    <w:link w:val="DipnotMetniChar"/>
    <w:uiPriority w:val="99"/>
    <w:semiHidden/>
    <w:unhideWhenUsed/>
    <w:rsid w:val="00211BC6"/>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211BC6"/>
    <w:rPr>
      <w:sz w:val="20"/>
      <w:szCs w:val="20"/>
    </w:rPr>
  </w:style>
  <w:style w:type="character" w:styleId="DipnotBavurusu">
    <w:name w:val="footnote reference"/>
    <w:basedOn w:val="VarsaylanParagrafYazTipi"/>
    <w:unhideWhenUsed/>
    <w:rsid w:val="00211BC6"/>
    <w:rPr>
      <w:vertAlign w:val="superscript"/>
    </w:rPr>
  </w:style>
  <w:style w:type="character" w:styleId="zlenenKpr">
    <w:name w:val="FollowedHyperlink"/>
    <w:basedOn w:val="VarsaylanParagrafYazTipi"/>
    <w:uiPriority w:val="99"/>
    <w:semiHidden/>
    <w:unhideWhenUsed/>
    <w:rsid w:val="00994753"/>
    <w:rPr>
      <w:color w:val="800080" w:themeColor="followedHyperlink"/>
      <w:u w:val="single"/>
    </w:rPr>
  </w:style>
  <w:style w:type="paragraph" w:styleId="SonnotMetni">
    <w:name w:val="endnote text"/>
    <w:basedOn w:val="Normal"/>
    <w:link w:val="SonnotMetniChar"/>
    <w:uiPriority w:val="99"/>
    <w:semiHidden/>
    <w:unhideWhenUsed/>
    <w:rsid w:val="00B972C3"/>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B972C3"/>
    <w:rPr>
      <w:sz w:val="20"/>
      <w:szCs w:val="20"/>
    </w:rPr>
  </w:style>
  <w:style w:type="character" w:styleId="SonnotBavurusu">
    <w:name w:val="endnote reference"/>
    <w:basedOn w:val="VarsaylanParagrafYazTipi"/>
    <w:uiPriority w:val="99"/>
    <w:semiHidden/>
    <w:unhideWhenUsed/>
    <w:rsid w:val="00B972C3"/>
    <w:rPr>
      <w:vertAlign w:val="superscript"/>
    </w:rPr>
  </w:style>
  <w:style w:type="paragraph" w:styleId="KonuBal">
    <w:name w:val="Title"/>
    <w:basedOn w:val="Normal"/>
    <w:next w:val="Normal"/>
    <w:link w:val="KonuBalChar"/>
    <w:uiPriority w:val="10"/>
    <w:qFormat/>
    <w:rsid w:val="00CA5F1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CA5F1E"/>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CA5F1E"/>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CA5F1E"/>
    <w:rPr>
      <w:rFonts w:asciiTheme="majorHAnsi" w:eastAsiaTheme="majorEastAsia" w:hAnsiTheme="majorHAnsi" w:cstheme="majorBidi"/>
      <w:i/>
      <w:iCs/>
      <w:color w:val="4F81BD" w:themeColor="accent1"/>
      <w:spacing w:val="15"/>
      <w:sz w:val="24"/>
      <w:szCs w:val="24"/>
      <w:lang w:eastAsia="tr-TR"/>
    </w:rPr>
  </w:style>
  <w:style w:type="paragraph" w:styleId="AralkYok">
    <w:name w:val="No Spacing"/>
    <w:link w:val="AralkYokChar"/>
    <w:uiPriority w:val="1"/>
    <w:qFormat/>
    <w:rsid w:val="00CA5F1E"/>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CA5F1E"/>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100">
      <w:bodyDiv w:val="1"/>
      <w:marLeft w:val="0"/>
      <w:marRight w:val="0"/>
      <w:marTop w:val="0"/>
      <w:marBottom w:val="0"/>
      <w:divBdr>
        <w:top w:val="none" w:sz="0" w:space="0" w:color="auto"/>
        <w:left w:val="none" w:sz="0" w:space="0" w:color="auto"/>
        <w:bottom w:val="none" w:sz="0" w:space="0" w:color="auto"/>
        <w:right w:val="none" w:sz="0" w:space="0" w:color="auto"/>
      </w:divBdr>
    </w:div>
    <w:div w:id="67533653">
      <w:bodyDiv w:val="1"/>
      <w:marLeft w:val="0"/>
      <w:marRight w:val="0"/>
      <w:marTop w:val="0"/>
      <w:marBottom w:val="0"/>
      <w:divBdr>
        <w:top w:val="none" w:sz="0" w:space="0" w:color="auto"/>
        <w:left w:val="none" w:sz="0" w:space="0" w:color="auto"/>
        <w:bottom w:val="none" w:sz="0" w:space="0" w:color="auto"/>
        <w:right w:val="none" w:sz="0" w:space="0" w:color="auto"/>
      </w:divBdr>
    </w:div>
    <w:div w:id="40746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unfccc.int/files/meetings/lima_dec_2014/decisions/application/pdf/auv_cop20_gcf.pdf" TargetMode="External"/><Relationship Id="rId7" Type="http://schemas.openxmlformats.org/officeDocument/2006/relationships/hyperlink" Target="http://belfercenter.ksg.harvard.edu/publication/24568/facilitating_linkage_of_heterogeneous_regional_national_and_subnational_climate_policies_through_a_future_international_agreement.html" TargetMode="External"/><Relationship Id="rId2" Type="http://schemas.openxmlformats.org/officeDocument/2006/relationships/hyperlink" Target="http://www.odi.org/sites/odi.org.uk/files/odi-assets/publications-opinion-files/9376.pdf" TargetMode="External"/><Relationship Id="rId1" Type="http://schemas.openxmlformats.org/officeDocument/2006/relationships/hyperlink" Target="http://unfccc.int/files/meetings/lima_dec_2014/application/pdf/auv_cop20_lima_call_for_climate_action.pdf" TargetMode="External"/><Relationship Id="rId6" Type="http://schemas.openxmlformats.org/officeDocument/2006/relationships/hyperlink" Target="http://unfccc.int/files/meetings/lima_dec_2014/decisions/application/pdf/auv_cop20_eit.pdf" TargetMode="External"/><Relationship Id="rId5" Type="http://schemas.openxmlformats.org/officeDocument/2006/relationships/hyperlink" Target="http://unfccc.int/files/essential_background/background_publications_htmlpdf/application/pdf/conveng.pdf" TargetMode="External"/><Relationship Id="rId4" Type="http://schemas.openxmlformats.org/officeDocument/2006/relationships/hyperlink" Target="http://unfccc.int/files/meetings/lima_dec_2014/decisions/application/pdf/auv_cop20_lossanddamage.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ZDE\AppData\Local\Microsoft\Windows\Temporary%20Internet%20Files\Content.MSO\54055B3B.dotx"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2015-01-06T00:00:00</PublishDate>
  <Abstract>BMİÇDS 19. TARAFLAR KONFERANSI KAPSAMINDAKİ GELİŞMELERE İLİŞKİN BİLGİ NOTU</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B22B3C-8823-4695-9443-38952B2DA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54055B3B</Template>
  <TotalTime>0</TotalTime>
  <Pages>12</Pages>
  <Words>3485</Words>
  <Characters>19867</Characters>
  <Application>Microsoft Office Word</Application>
  <DocSecurity>0</DocSecurity>
  <Lines>165</Lines>
  <Paragraphs>46</Paragraphs>
  <ScaleCrop>false</ScaleCrop>
  <HeadingPairs>
    <vt:vector size="2" baseType="variant">
      <vt:variant>
        <vt:lpstr>Konu Başlığı</vt:lpstr>
      </vt:variant>
      <vt:variant>
        <vt:i4>1</vt:i4>
      </vt:variant>
    </vt:vector>
  </HeadingPairs>
  <TitlesOfParts>
    <vt:vector size="1" baseType="lpstr">
      <vt:lpstr>BMİDÇS 20. TARAFLAR KONFERANSININ SONUÇLARINA İLİŞKİN BİLGİ NOTU</vt:lpstr>
    </vt:vector>
  </TitlesOfParts>
  <Company/>
  <LinksUpToDate>false</LinksUpToDate>
  <CharactersWithSpaces>23306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BMİDÇS 20. TARAFLAR KONFERANSININ SONUÇLARINA İLİŞKİN BİLGİ NOTU</dc:title>
  <dc:creator>Tanyeli Behiç SABUNCU</dc:creator>
  <cp:lastModifiedBy>TANYELI SABUNCU</cp:lastModifiedBy>
  <cp:revision>3</cp:revision>
  <cp:lastPrinted>2014-01-02T10:08:00Z</cp:lastPrinted>
  <dcterms:created xsi:type="dcterms:W3CDTF">2015-01-06T13:09:00Z</dcterms:created>
  <dcterms:modified xsi:type="dcterms:W3CDTF">2015-01-06T15:31:00Z</dcterms:modified>
</cp:coreProperties>
</file>