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1AEE" w:rsidRDefault="00CF2EB2">
      <w:pPr>
        <w:tabs>
          <w:tab w:val="left" w:pos="2694"/>
        </w:tabs>
        <w:spacing w:after="0" w:line="240" w:lineRule="auto"/>
        <w:ind w:right="567"/>
        <w:jc w:val="right"/>
        <w:rPr>
          <w:rFonts w:ascii="Calibri" w:eastAsia="Times New Roman" w:hAnsi="Calibri" w:cs="Times New Roman"/>
          <w:color w:val="1F497D" w:themeColor="text2"/>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eastAsia="Times New Roman" w:cs="Times New Roman"/>
          <w:color w:val="1F497D" w:themeColor="text2"/>
          <w:sz w:val="24"/>
          <w:szCs w:val="24"/>
        </w:rPr>
        <w:tab/>
      </w:r>
      <w:r>
        <w:rPr>
          <w:rFonts w:eastAsia="Times New Roman" w:cs="Times New Roman"/>
          <w:color w:val="1F497D" w:themeColor="text2"/>
          <w:sz w:val="24"/>
          <w:szCs w:val="24"/>
        </w:rPr>
        <w:tab/>
      </w:r>
      <w:r>
        <w:rPr>
          <w:rFonts w:eastAsia="Times New Roman" w:cs="Times New Roman"/>
          <w:color w:val="1F497D" w:themeColor="text2"/>
          <w:sz w:val="24"/>
          <w:szCs w:val="24"/>
        </w:rPr>
        <w:tab/>
      </w:r>
    </w:p>
    <w:p w:rsidR="00E71AEE" w:rsidRDefault="00CF2EB2">
      <w:pPr>
        <w:pStyle w:val="Body"/>
        <w:tabs>
          <w:tab w:val="left" w:pos="2694"/>
        </w:tabs>
        <w:spacing w:line="360" w:lineRule="auto"/>
        <w:rPr>
          <w:rFonts w:cs="Times New Roman"/>
          <w:b/>
          <w:bCs/>
          <w:color w:val="1F497D" w:themeColor="text2"/>
          <w:sz w:val="40"/>
          <w:szCs w:val="40"/>
        </w:rPr>
      </w:pPr>
      <w:r>
        <w:rPr>
          <w:rFonts w:cs="Times New Roman"/>
          <w:b/>
          <w:bCs/>
          <w:color w:val="1F497D" w:themeColor="text2"/>
          <w:sz w:val="40"/>
          <w:szCs w:val="40"/>
        </w:rPr>
        <w:t>Press Release</w:t>
      </w:r>
    </w:p>
    <w:p w:rsidR="00E71AEE" w:rsidRDefault="00CF2EB2">
      <w:pPr>
        <w:pStyle w:val="Body"/>
        <w:tabs>
          <w:tab w:val="left" w:pos="2694"/>
        </w:tabs>
        <w:ind w:right="567"/>
        <w:jc w:val="right"/>
      </w:pPr>
      <w:r>
        <w:rPr>
          <w:rFonts w:cs="Times New Roman"/>
          <w:color w:val="1F497D" w:themeColor="text2"/>
          <w:sz w:val="20"/>
          <w:szCs w:val="20"/>
        </w:rPr>
        <w:t xml:space="preserve">18 January 2018 </w:t>
      </w:r>
    </w:p>
    <w:p w:rsidR="00E71AEE" w:rsidRDefault="00CF2EB2">
      <w:pPr>
        <w:pStyle w:val="Body"/>
        <w:tabs>
          <w:tab w:val="left" w:pos="2694"/>
        </w:tabs>
        <w:ind w:left="2410" w:right="567"/>
        <w:jc w:val="right"/>
        <w:rPr>
          <w:rFonts w:eastAsia="Times New Roman" w:cs="Times New Roman"/>
          <w:color w:val="1F497D" w:themeColor="text2"/>
          <w:sz w:val="20"/>
          <w:szCs w:val="20"/>
        </w:rPr>
      </w:pPr>
      <w:r>
        <w:rPr>
          <w:rFonts w:eastAsia="Times New Roman" w:cs="Times New Roman"/>
          <w:color w:val="1F497D" w:themeColor="text2"/>
          <w:sz w:val="20"/>
          <w:szCs w:val="20"/>
        </w:rPr>
        <w:tab/>
      </w:r>
      <w:r>
        <w:rPr>
          <w:rFonts w:eastAsia="Times New Roman" w:cs="Times New Roman"/>
          <w:color w:val="1F497D" w:themeColor="text2"/>
          <w:sz w:val="20"/>
          <w:szCs w:val="20"/>
        </w:rPr>
        <w:tab/>
      </w:r>
      <w:r>
        <w:rPr>
          <w:rFonts w:eastAsia="Times New Roman" w:cs="Times New Roman"/>
          <w:color w:val="1F497D" w:themeColor="text2"/>
          <w:sz w:val="20"/>
          <w:szCs w:val="20"/>
        </w:rPr>
        <w:tab/>
        <w:t>TS/Kİ-B</w:t>
      </w:r>
      <w:r>
        <w:rPr>
          <w:rFonts w:cs="Times New Roman"/>
          <w:color w:val="1F497D" w:themeColor="text2"/>
          <w:sz w:val="20"/>
          <w:szCs w:val="20"/>
        </w:rPr>
        <w:t>ÜL/18-07</w:t>
      </w:r>
    </w:p>
    <w:p w:rsidR="00E71AEE" w:rsidRDefault="00E71AEE">
      <w:pPr>
        <w:pStyle w:val="BodyA"/>
        <w:tabs>
          <w:tab w:val="left" w:pos="2694"/>
        </w:tabs>
        <w:spacing w:line="360" w:lineRule="auto"/>
        <w:jc w:val="right"/>
        <w:rPr>
          <w:rFonts w:eastAsia="Times New Roman" w:cs="Times New Roman"/>
          <w:color w:val="1F497D" w:themeColor="text2"/>
          <w:sz w:val="24"/>
          <w:szCs w:val="24"/>
        </w:rPr>
      </w:pPr>
    </w:p>
    <w:p w:rsidR="00E71AEE" w:rsidRDefault="00CF2EB2">
      <w:pPr>
        <w:widowControl w:val="0"/>
        <w:spacing w:line="240" w:lineRule="auto"/>
        <w:ind w:left="-227" w:right="567"/>
        <w:jc w:val="center"/>
      </w:pPr>
      <w:r>
        <w:rPr>
          <w:rFonts w:cs="Times New Roman"/>
          <w:b/>
          <w:color w:val="1F497D" w:themeColor="text2"/>
          <w:sz w:val="28"/>
          <w:szCs w:val="28"/>
        </w:rPr>
        <w:t xml:space="preserve"> </w:t>
      </w:r>
      <w:r w:rsidR="00C06FD9" w:rsidRPr="00C06FD9">
        <w:rPr>
          <w:rFonts w:cs="Times New Roman"/>
          <w:b/>
          <w:color w:val="1F497D" w:themeColor="text2"/>
          <w:sz w:val="28"/>
          <w:szCs w:val="28"/>
        </w:rPr>
        <w:t xml:space="preserve">TÜSİAD </w:t>
      </w:r>
      <w:r>
        <w:rPr>
          <w:rFonts w:cs="Times New Roman"/>
          <w:b/>
          <w:color w:val="1F497D" w:themeColor="text2"/>
          <w:sz w:val="28"/>
          <w:szCs w:val="28"/>
        </w:rPr>
        <w:t>48</w:t>
      </w:r>
      <w:r>
        <w:rPr>
          <w:rFonts w:cs="Times New Roman"/>
          <w:b/>
          <w:color w:val="1F497D" w:themeColor="text2"/>
          <w:sz w:val="28"/>
          <w:szCs w:val="28"/>
          <w:vertAlign w:val="superscript"/>
        </w:rPr>
        <w:t>th</w:t>
      </w:r>
      <w:r>
        <w:rPr>
          <w:rFonts w:cs="Times New Roman"/>
          <w:b/>
          <w:color w:val="1F497D" w:themeColor="text2"/>
          <w:sz w:val="28"/>
          <w:szCs w:val="28"/>
        </w:rPr>
        <w:t xml:space="preserve"> GENERAL ASSEMBLY MEETING </w:t>
      </w:r>
    </w:p>
    <w:p w:rsidR="00E71AEE" w:rsidRDefault="00E71AEE">
      <w:pPr>
        <w:widowControl w:val="0"/>
        <w:spacing w:after="0" w:line="240" w:lineRule="auto"/>
        <w:jc w:val="both"/>
        <w:rPr>
          <w:rFonts w:ascii="Calibri" w:hAnsi="Calibri" w:cs="Times New Roman"/>
          <w:b/>
          <w:color w:val="1F497D" w:themeColor="text2"/>
          <w:sz w:val="26"/>
          <w:szCs w:val="26"/>
        </w:rPr>
      </w:pPr>
    </w:p>
    <w:p w:rsidR="00E71AEE" w:rsidRDefault="00C06FD9">
      <w:pPr>
        <w:widowControl w:val="0"/>
        <w:spacing w:after="0" w:line="240" w:lineRule="auto"/>
        <w:jc w:val="both"/>
      </w:pPr>
      <w:r>
        <w:rPr>
          <w:rFonts w:cs="Times New Roman"/>
          <w:b/>
          <w:color w:val="1F497D" w:themeColor="text2"/>
          <w:sz w:val="26"/>
          <w:szCs w:val="26"/>
        </w:rPr>
        <w:t xml:space="preserve">The </w:t>
      </w:r>
      <w:r w:rsidR="00CF2EB2">
        <w:rPr>
          <w:rFonts w:cs="Times New Roman"/>
          <w:b/>
          <w:color w:val="1F497D" w:themeColor="text2"/>
          <w:sz w:val="26"/>
          <w:szCs w:val="26"/>
        </w:rPr>
        <w:t>General Assembly of TÜSİAD has passed a resolution changing the full name of TÜSİAD to “</w:t>
      </w:r>
      <w:proofErr w:type="spellStart"/>
      <w:r w:rsidR="00CF2EB2">
        <w:rPr>
          <w:rFonts w:cs="Times New Roman"/>
          <w:b/>
          <w:color w:val="1F497D" w:themeColor="text2"/>
          <w:sz w:val="26"/>
          <w:szCs w:val="26"/>
        </w:rPr>
        <w:t>Türk</w:t>
      </w:r>
      <w:proofErr w:type="spellEnd"/>
      <w:r w:rsidR="00CF2EB2">
        <w:rPr>
          <w:rFonts w:cs="Times New Roman"/>
          <w:b/>
          <w:color w:val="1F497D" w:themeColor="text2"/>
          <w:sz w:val="26"/>
          <w:szCs w:val="26"/>
        </w:rPr>
        <w:t xml:space="preserve"> </w:t>
      </w:r>
      <w:proofErr w:type="spellStart"/>
      <w:r w:rsidR="00CF2EB2">
        <w:rPr>
          <w:rFonts w:cs="Times New Roman"/>
          <w:b/>
          <w:color w:val="1F497D" w:themeColor="text2"/>
          <w:sz w:val="26"/>
          <w:szCs w:val="26"/>
        </w:rPr>
        <w:t>Sanayicileri</w:t>
      </w:r>
      <w:proofErr w:type="spellEnd"/>
      <w:r w:rsidR="00CF2EB2">
        <w:rPr>
          <w:rFonts w:cs="Times New Roman"/>
          <w:b/>
          <w:color w:val="1F497D" w:themeColor="text2"/>
          <w:sz w:val="26"/>
          <w:szCs w:val="26"/>
        </w:rPr>
        <w:t xml:space="preserve"> </w:t>
      </w:r>
      <w:proofErr w:type="spellStart"/>
      <w:r w:rsidR="00CF2EB2">
        <w:rPr>
          <w:rFonts w:cs="Times New Roman"/>
          <w:b/>
          <w:color w:val="1F497D" w:themeColor="text2"/>
          <w:sz w:val="26"/>
          <w:szCs w:val="26"/>
        </w:rPr>
        <w:t>ve</w:t>
      </w:r>
      <w:proofErr w:type="spellEnd"/>
      <w:r w:rsidR="00CF2EB2">
        <w:rPr>
          <w:rFonts w:cs="Times New Roman"/>
          <w:b/>
          <w:color w:val="1F497D" w:themeColor="text2"/>
          <w:sz w:val="26"/>
          <w:szCs w:val="26"/>
        </w:rPr>
        <w:t xml:space="preserve"> </w:t>
      </w:r>
      <w:proofErr w:type="spellStart"/>
      <w:r w:rsidR="00CF2EB2">
        <w:rPr>
          <w:rFonts w:cs="Times New Roman"/>
          <w:b/>
          <w:color w:val="1F497D" w:themeColor="text2"/>
          <w:sz w:val="26"/>
          <w:szCs w:val="26"/>
        </w:rPr>
        <w:t>İş</w:t>
      </w:r>
      <w:proofErr w:type="spellEnd"/>
      <w:r w:rsidR="00CF2EB2">
        <w:rPr>
          <w:rFonts w:cs="Times New Roman"/>
          <w:b/>
          <w:color w:val="1F497D" w:themeColor="text2"/>
          <w:sz w:val="26"/>
          <w:szCs w:val="26"/>
        </w:rPr>
        <w:t xml:space="preserve"> </w:t>
      </w:r>
      <w:proofErr w:type="spellStart"/>
      <w:r w:rsidR="00CF2EB2">
        <w:rPr>
          <w:rFonts w:cs="Times New Roman"/>
          <w:b/>
          <w:color w:val="1F497D" w:themeColor="text2"/>
          <w:sz w:val="26"/>
          <w:szCs w:val="26"/>
        </w:rPr>
        <w:t>İnsanları</w:t>
      </w:r>
      <w:proofErr w:type="spellEnd"/>
      <w:r w:rsidR="00CF2EB2">
        <w:rPr>
          <w:rFonts w:cs="Times New Roman"/>
          <w:b/>
          <w:color w:val="1F497D" w:themeColor="text2"/>
          <w:sz w:val="26"/>
          <w:szCs w:val="26"/>
        </w:rPr>
        <w:t xml:space="preserve"> </w:t>
      </w:r>
      <w:proofErr w:type="spellStart"/>
      <w:r w:rsidR="00CF2EB2">
        <w:rPr>
          <w:rFonts w:cs="Times New Roman"/>
          <w:b/>
          <w:color w:val="1F497D" w:themeColor="text2"/>
          <w:sz w:val="26"/>
          <w:szCs w:val="26"/>
        </w:rPr>
        <w:t>Derneği</w:t>
      </w:r>
      <w:proofErr w:type="spellEnd"/>
      <w:r w:rsidR="00CF2EB2">
        <w:rPr>
          <w:rFonts w:cs="Times New Roman"/>
          <w:b/>
          <w:color w:val="1F497D" w:themeColor="text2"/>
          <w:sz w:val="26"/>
          <w:szCs w:val="26"/>
        </w:rPr>
        <w:t>” (Association of Turkish Industrialists and Businesspeople) while keeping the short name TÜSİAD. The association will continue to use the brand name TÜSİAD.</w:t>
      </w:r>
    </w:p>
    <w:p w:rsidR="00E71AEE" w:rsidRDefault="00E71AEE">
      <w:pPr>
        <w:widowControl w:val="0"/>
        <w:spacing w:after="0" w:line="240" w:lineRule="auto"/>
        <w:jc w:val="both"/>
        <w:rPr>
          <w:rFonts w:ascii="Calibri" w:hAnsi="Calibri" w:cs="Times New Roman"/>
          <w:b/>
          <w:color w:val="1F497D" w:themeColor="text2"/>
          <w:sz w:val="26"/>
          <w:szCs w:val="26"/>
        </w:rPr>
      </w:pPr>
    </w:p>
    <w:p w:rsidR="00E71AEE" w:rsidRDefault="00E71AEE">
      <w:pPr>
        <w:widowControl w:val="0"/>
        <w:spacing w:after="0" w:line="240" w:lineRule="auto"/>
        <w:ind w:left="-227" w:right="567"/>
        <w:rPr>
          <w:rFonts w:eastAsia="Times New Roman"/>
        </w:rPr>
      </w:pPr>
    </w:p>
    <w:p w:rsidR="00E71AEE" w:rsidRDefault="00CF2EB2">
      <w:pPr>
        <w:widowControl w:val="0"/>
        <w:spacing w:after="0" w:line="240" w:lineRule="auto"/>
        <w:ind w:left="-227" w:right="567"/>
        <w:rPr>
          <w:rFonts w:ascii="Calibri" w:hAnsi="Calibri" w:cs="Times New Roman"/>
          <w:b/>
          <w:color w:val="1F497D" w:themeColor="text2"/>
        </w:rPr>
      </w:pPr>
      <w:r>
        <w:rPr>
          <w:rFonts w:eastAsia="Times New Roman" w:cs="Times New Roman"/>
          <w:b/>
          <w:color w:val="1F497D" w:themeColor="text2"/>
        </w:rPr>
        <w:t xml:space="preserve"> </w:t>
      </w:r>
    </w:p>
    <w:p w:rsidR="00E71AEE" w:rsidRDefault="00C06FD9" w:rsidP="00FC2C1E">
      <w:pPr>
        <w:widowControl w:val="0"/>
        <w:spacing w:after="0" w:line="360" w:lineRule="auto"/>
        <w:jc w:val="both"/>
      </w:pPr>
      <w:r>
        <w:rPr>
          <w:rFonts w:eastAsia="Times New Roman" w:cs="Times New Roman"/>
          <w:color w:val="1F497D" w:themeColor="text2"/>
        </w:rPr>
        <w:t xml:space="preserve">The </w:t>
      </w:r>
      <w:r w:rsidR="00CF2EB2">
        <w:rPr>
          <w:rFonts w:eastAsia="Times New Roman" w:cs="Times New Roman"/>
          <w:color w:val="1F497D" w:themeColor="text2"/>
        </w:rPr>
        <w:t>48</w:t>
      </w:r>
      <w:r w:rsidR="00CF2EB2">
        <w:rPr>
          <w:rFonts w:eastAsia="Times New Roman" w:cs="Times New Roman"/>
          <w:color w:val="1F497D" w:themeColor="text2"/>
          <w:vertAlign w:val="superscript"/>
        </w:rPr>
        <w:t>th</w:t>
      </w:r>
      <w:r w:rsidR="00CF2EB2">
        <w:rPr>
          <w:rFonts w:eastAsia="Times New Roman" w:cs="Times New Roman"/>
          <w:color w:val="1F497D" w:themeColor="text2"/>
        </w:rPr>
        <w:t xml:space="preserve"> Ordinary General Assembly meeting of TÜSİAD </w:t>
      </w:r>
      <w:r w:rsidR="00FC2C1E">
        <w:rPr>
          <w:rFonts w:eastAsia="Times New Roman" w:cs="Times New Roman"/>
          <w:color w:val="1F497D" w:themeColor="text2"/>
        </w:rPr>
        <w:t>was</w:t>
      </w:r>
      <w:r w:rsidR="00CF2EB2">
        <w:rPr>
          <w:rFonts w:eastAsia="Times New Roman" w:cs="Times New Roman"/>
          <w:color w:val="1F497D" w:themeColor="text2"/>
        </w:rPr>
        <w:t xml:space="preserve"> held on 18 January 2018, in Istanbul. </w:t>
      </w:r>
    </w:p>
    <w:p w:rsidR="00E71AEE" w:rsidRDefault="00E71AEE">
      <w:pPr>
        <w:widowControl w:val="0"/>
        <w:spacing w:after="0" w:line="360" w:lineRule="auto"/>
        <w:jc w:val="both"/>
        <w:rPr>
          <w:rFonts w:ascii="Calibri" w:eastAsia="Times New Roman" w:hAnsi="Calibri" w:cs="Times New Roman"/>
          <w:color w:val="1F497D" w:themeColor="text2"/>
        </w:rPr>
      </w:pPr>
    </w:p>
    <w:p w:rsidR="00E71AEE" w:rsidRDefault="00CF2EB2">
      <w:pPr>
        <w:widowControl w:val="0"/>
        <w:spacing w:after="0" w:line="360" w:lineRule="auto"/>
        <w:jc w:val="both"/>
      </w:pPr>
      <w:r>
        <w:rPr>
          <w:rFonts w:eastAsia="Times New Roman" w:cs="Times New Roman"/>
          <w:color w:val="1F497D" w:themeColor="text2"/>
        </w:rPr>
        <w:t>The General Assembly, according to the order of the day, passed unanimously a resolution changing the official full name of TÜSİAD to “</w:t>
      </w:r>
      <w:proofErr w:type="spellStart"/>
      <w:r>
        <w:rPr>
          <w:rFonts w:eastAsia="Times New Roman" w:cs="Times New Roman"/>
          <w:color w:val="1F497D" w:themeColor="text2"/>
        </w:rPr>
        <w:t>Türk</w:t>
      </w:r>
      <w:proofErr w:type="spellEnd"/>
      <w:r>
        <w:rPr>
          <w:rFonts w:eastAsia="Times New Roman" w:cs="Times New Roman"/>
          <w:color w:val="1F497D" w:themeColor="text2"/>
        </w:rPr>
        <w:t xml:space="preserve"> </w:t>
      </w:r>
      <w:proofErr w:type="spellStart"/>
      <w:r>
        <w:rPr>
          <w:rFonts w:eastAsia="Times New Roman" w:cs="Times New Roman"/>
          <w:color w:val="1F497D" w:themeColor="text2"/>
        </w:rPr>
        <w:t>Sanayicileri</w:t>
      </w:r>
      <w:proofErr w:type="spellEnd"/>
      <w:r>
        <w:rPr>
          <w:rFonts w:eastAsia="Times New Roman" w:cs="Times New Roman"/>
          <w:color w:val="1F497D" w:themeColor="text2"/>
        </w:rPr>
        <w:t xml:space="preserve"> </w:t>
      </w:r>
      <w:proofErr w:type="spellStart"/>
      <w:r>
        <w:rPr>
          <w:rFonts w:eastAsia="Times New Roman" w:cs="Times New Roman"/>
          <w:color w:val="1F497D" w:themeColor="text2"/>
        </w:rPr>
        <w:t>ve</w:t>
      </w:r>
      <w:proofErr w:type="spellEnd"/>
      <w:r>
        <w:rPr>
          <w:rFonts w:eastAsia="Times New Roman" w:cs="Times New Roman"/>
          <w:color w:val="1F497D" w:themeColor="text2"/>
        </w:rPr>
        <w:t xml:space="preserve"> </w:t>
      </w:r>
      <w:proofErr w:type="spellStart"/>
      <w:r>
        <w:rPr>
          <w:rFonts w:eastAsia="Times New Roman" w:cs="Times New Roman"/>
          <w:color w:val="1F497D" w:themeColor="text2"/>
        </w:rPr>
        <w:t>İş</w:t>
      </w:r>
      <w:proofErr w:type="spellEnd"/>
      <w:r>
        <w:rPr>
          <w:rFonts w:eastAsia="Times New Roman" w:cs="Times New Roman"/>
          <w:color w:val="1F497D" w:themeColor="text2"/>
        </w:rPr>
        <w:t xml:space="preserve"> </w:t>
      </w:r>
      <w:proofErr w:type="spellStart"/>
      <w:r>
        <w:rPr>
          <w:rFonts w:eastAsia="Times New Roman" w:cs="Times New Roman"/>
          <w:color w:val="1F497D" w:themeColor="text2"/>
        </w:rPr>
        <w:t>İnsanları</w:t>
      </w:r>
      <w:proofErr w:type="spellEnd"/>
      <w:r>
        <w:rPr>
          <w:rFonts w:eastAsia="Times New Roman" w:cs="Times New Roman"/>
          <w:color w:val="1F497D" w:themeColor="text2"/>
        </w:rPr>
        <w:t xml:space="preserve"> </w:t>
      </w:r>
      <w:proofErr w:type="spellStart"/>
      <w:r>
        <w:rPr>
          <w:rFonts w:eastAsia="Times New Roman" w:cs="Times New Roman"/>
          <w:color w:val="1F497D" w:themeColor="text2"/>
        </w:rPr>
        <w:t>Derneği</w:t>
      </w:r>
      <w:proofErr w:type="spellEnd"/>
      <w:r>
        <w:rPr>
          <w:rFonts w:eastAsia="Times New Roman" w:cs="Times New Roman"/>
          <w:color w:val="1F497D" w:themeColor="text2"/>
        </w:rPr>
        <w:t xml:space="preserve">” (Association of Turkish Industrialists and Businesspeople”. This change will bear no effect on the continuing use of </w:t>
      </w:r>
      <w:r w:rsidR="00C06FD9">
        <w:rPr>
          <w:rFonts w:eastAsia="Times New Roman" w:cs="Times New Roman"/>
          <w:color w:val="1F497D" w:themeColor="text2"/>
        </w:rPr>
        <w:t xml:space="preserve">the </w:t>
      </w:r>
      <w:r>
        <w:rPr>
          <w:rFonts w:eastAsia="Times New Roman" w:cs="Times New Roman"/>
          <w:color w:val="1F497D" w:themeColor="text2"/>
        </w:rPr>
        <w:t>“TÜSİAD” brand as the short name of the association.</w:t>
      </w:r>
    </w:p>
    <w:p w:rsidR="00E71AEE" w:rsidRDefault="00E71AEE">
      <w:pPr>
        <w:widowControl w:val="0"/>
        <w:spacing w:after="0" w:line="360" w:lineRule="auto"/>
        <w:jc w:val="both"/>
        <w:rPr>
          <w:rFonts w:ascii="Calibri" w:eastAsia="Times New Roman" w:hAnsi="Calibri" w:cs="Times New Roman"/>
          <w:color w:val="1F497D" w:themeColor="text2"/>
        </w:rPr>
      </w:pPr>
    </w:p>
    <w:p w:rsidR="00E71AEE" w:rsidRDefault="00CF2EB2">
      <w:pPr>
        <w:widowControl w:val="0"/>
        <w:spacing w:after="0" w:line="360" w:lineRule="auto"/>
        <w:jc w:val="both"/>
      </w:pPr>
      <w:r>
        <w:rPr>
          <w:rFonts w:eastAsia="Times New Roman" w:cs="Times New Roman"/>
          <w:color w:val="1F497D" w:themeColor="text2"/>
        </w:rPr>
        <w:t>The order of the day proposed and justified the resolution as follows:</w:t>
      </w:r>
    </w:p>
    <w:p w:rsidR="00E71AEE" w:rsidRDefault="00E71AEE">
      <w:pPr>
        <w:widowControl w:val="0"/>
        <w:spacing w:after="0" w:line="360" w:lineRule="auto"/>
        <w:jc w:val="both"/>
        <w:rPr>
          <w:rFonts w:ascii="Calibri" w:eastAsia="Times New Roman" w:hAnsi="Calibri" w:cs="Times New Roman"/>
          <w:color w:val="1F497D" w:themeColor="text2"/>
        </w:rPr>
      </w:pPr>
    </w:p>
    <w:p w:rsidR="00E71AEE" w:rsidRDefault="00CF2EB2">
      <w:pPr>
        <w:widowControl w:val="0"/>
        <w:spacing w:after="0" w:line="360" w:lineRule="auto"/>
        <w:jc w:val="both"/>
        <w:rPr>
          <w:rFonts w:ascii="Calibri" w:eastAsia="Times New Roman" w:hAnsi="Calibri" w:cs="Times New Roman"/>
          <w:color w:val="1F497D" w:themeColor="text2"/>
        </w:rPr>
      </w:pPr>
      <w:r>
        <w:rPr>
          <w:rFonts w:eastAsia="Times New Roman" w:cs="Times New Roman"/>
          <w:color w:val="1F497D" w:themeColor="text2"/>
        </w:rPr>
        <w:t>“As stated in Article 2 of our Bylaws “pursuing equality between women and men” is one of our goals and accordingly our association engages in various activities in the sphere of social gender equality. It is proposed that the word “</w:t>
      </w:r>
      <w:proofErr w:type="spellStart"/>
      <w:r>
        <w:rPr>
          <w:rFonts w:eastAsia="Times New Roman" w:cs="Times New Roman"/>
          <w:color w:val="1F497D" w:themeColor="text2"/>
        </w:rPr>
        <w:t>işadamları</w:t>
      </w:r>
      <w:proofErr w:type="spellEnd"/>
      <w:r>
        <w:rPr>
          <w:rFonts w:eastAsia="Times New Roman" w:cs="Times New Roman"/>
          <w:color w:val="1F497D" w:themeColor="text2"/>
        </w:rPr>
        <w:t>” (businessmen) mentioned in the full name of our association is replaced by “</w:t>
      </w:r>
      <w:proofErr w:type="spellStart"/>
      <w:r>
        <w:rPr>
          <w:rFonts w:eastAsia="Times New Roman" w:cs="Times New Roman"/>
          <w:color w:val="1F497D" w:themeColor="text2"/>
        </w:rPr>
        <w:t>iş</w:t>
      </w:r>
      <w:proofErr w:type="spellEnd"/>
      <w:r>
        <w:rPr>
          <w:rFonts w:eastAsia="Times New Roman" w:cs="Times New Roman"/>
          <w:color w:val="1F497D" w:themeColor="text2"/>
        </w:rPr>
        <w:t xml:space="preserve"> </w:t>
      </w:r>
      <w:proofErr w:type="spellStart"/>
      <w:r>
        <w:rPr>
          <w:rFonts w:eastAsia="Times New Roman" w:cs="Times New Roman"/>
          <w:color w:val="1F497D" w:themeColor="text2"/>
        </w:rPr>
        <w:t>insanları</w:t>
      </w:r>
      <w:proofErr w:type="spellEnd"/>
      <w:r>
        <w:rPr>
          <w:rFonts w:eastAsia="Times New Roman" w:cs="Times New Roman"/>
          <w:color w:val="1F497D" w:themeColor="text2"/>
        </w:rPr>
        <w:t>” (</w:t>
      </w:r>
      <w:bookmarkStart w:id="0" w:name="__DdeLink__3320_873150168"/>
      <w:r>
        <w:rPr>
          <w:rFonts w:eastAsia="Times New Roman" w:cs="Times New Roman"/>
          <w:color w:val="1F497D" w:themeColor="text2"/>
        </w:rPr>
        <w:t>businesspeople</w:t>
      </w:r>
      <w:bookmarkEnd w:id="0"/>
      <w:r>
        <w:rPr>
          <w:rFonts w:eastAsia="Times New Roman" w:cs="Times New Roman"/>
          <w:color w:val="1F497D" w:themeColor="text2"/>
        </w:rPr>
        <w:t xml:space="preserve">) </w:t>
      </w:r>
      <w:proofErr w:type="gramStart"/>
      <w:r>
        <w:rPr>
          <w:rFonts w:eastAsia="Times New Roman" w:cs="Times New Roman"/>
          <w:color w:val="1F497D" w:themeColor="text2"/>
        </w:rPr>
        <w:t>in order to</w:t>
      </w:r>
      <w:proofErr w:type="gramEnd"/>
      <w:r>
        <w:rPr>
          <w:rFonts w:eastAsia="Times New Roman" w:cs="Times New Roman"/>
          <w:color w:val="1F497D" w:themeColor="text2"/>
        </w:rPr>
        <w:t xml:space="preserve"> include all our members, to be in line with the objectives and activities of our association and to answer to the needs and requirements of the 21</w:t>
      </w:r>
      <w:r>
        <w:rPr>
          <w:rFonts w:eastAsia="Times New Roman" w:cs="Times New Roman"/>
          <w:color w:val="1F497D" w:themeColor="text2"/>
          <w:vertAlign w:val="superscript"/>
        </w:rPr>
        <w:t>st</w:t>
      </w:r>
      <w:r>
        <w:rPr>
          <w:rFonts w:eastAsia="Times New Roman" w:cs="Times New Roman"/>
          <w:color w:val="1F497D" w:themeColor="text2"/>
        </w:rPr>
        <w:t xml:space="preserve"> century. This name change will not affect the continuing use of </w:t>
      </w:r>
      <w:r w:rsidR="00C06FD9">
        <w:rPr>
          <w:rFonts w:eastAsia="Times New Roman" w:cs="Times New Roman"/>
          <w:color w:val="1F497D" w:themeColor="text2"/>
        </w:rPr>
        <w:t xml:space="preserve">the </w:t>
      </w:r>
      <w:r>
        <w:rPr>
          <w:rFonts w:eastAsia="Times New Roman" w:cs="Times New Roman"/>
          <w:color w:val="1F497D" w:themeColor="text2"/>
        </w:rPr>
        <w:t>“TÜSİAD” brand as the short name of our association.”</w:t>
      </w:r>
    </w:p>
    <w:p w:rsidR="00E71AEE" w:rsidRDefault="00E71AEE">
      <w:pPr>
        <w:widowControl w:val="0"/>
        <w:spacing w:after="0" w:line="360" w:lineRule="auto"/>
        <w:jc w:val="both"/>
        <w:rPr>
          <w:rFonts w:ascii="Calibri" w:eastAsia="Times New Roman" w:hAnsi="Calibri" w:cs="Times New Roman"/>
          <w:color w:val="1F497D" w:themeColor="text2"/>
        </w:rPr>
      </w:pPr>
    </w:p>
    <w:p w:rsidR="00E71AEE" w:rsidRDefault="00CF2EB2">
      <w:pPr>
        <w:widowControl w:val="0"/>
        <w:spacing w:after="0" w:line="360" w:lineRule="auto"/>
        <w:jc w:val="both"/>
        <w:rPr>
          <w:rFonts w:ascii="Calibri" w:eastAsia="Times New Roman" w:hAnsi="Calibri" w:cs="Times New Roman"/>
          <w:i/>
          <w:iCs/>
          <w:color w:val="1F497D" w:themeColor="text2"/>
        </w:rPr>
      </w:pPr>
      <w:r>
        <w:rPr>
          <w:rFonts w:eastAsia="Times New Roman" w:cs="Times New Roman"/>
          <w:i/>
          <w:iCs/>
          <w:color w:val="1F497D" w:themeColor="text2"/>
        </w:rPr>
        <w:t xml:space="preserve">Please note that in all our communication materials and activities the short name “TÜSİAD” will be used as before, instead of </w:t>
      </w:r>
      <w:r w:rsidR="00C06FD9">
        <w:rPr>
          <w:rFonts w:eastAsia="Times New Roman" w:cs="Times New Roman"/>
          <w:i/>
          <w:iCs/>
          <w:color w:val="1F497D" w:themeColor="text2"/>
        </w:rPr>
        <w:t xml:space="preserve">the </w:t>
      </w:r>
      <w:r>
        <w:rPr>
          <w:rFonts w:eastAsia="Times New Roman" w:cs="Times New Roman"/>
          <w:i/>
          <w:iCs/>
          <w:color w:val="1F497D" w:themeColor="text2"/>
        </w:rPr>
        <w:t xml:space="preserve">official full name of the association. </w:t>
      </w:r>
    </w:p>
    <w:p w:rsidR="00E71AEE" w:rsidRDefault="00E71AEE">
      <w:pPr>
        <w:widowControl w:val="0"/>
        <w:spacing w:after="0" w:line="360" w:lineRule="auto"/>
        <w:jc w:val="both"/>
        <w:rPr>
          <w:rFonts w:ascii="Calibri" w:eastAsia="Times New Roman" w:hAnsi="Calibri" w:cs="Times New Roman"/>
          <w:color w:val="1F497D" w:themeColor="text2"/>
        </w:rPr>
      </w:pPr>
    </w:p>
    <w:p w:rsidR="00E71AEE" w:rsidRDefault="00CF2EB2">
      <w:pPr>
        <w:widowControl w:val="0"/>
        <w:spacing w:after="0" w:line="360" w:lineRule="auto"/>
        <w:jc w:val="both"/>
        <w:rPr>
          <w:rFonts w:ascii="Calibri" w:eastAsia="Times New Roman" w:hAnsi="Calibri" w:cs="Times New Roman"/>
          <w:color w:val="1F497D" w:themeColor="text2"/>
        </w:rPr>
      </w:pPr>
      <w:r>
        <w:rPr>
          <w:rFonts w:eastAsia="Times New Roman" w:cs="Times New Roman"/>
          <w:color w:val="1F497D" w:themeColor="text2"/>
        </w:rPr>
        <w:t xml:space="preserve">At the opening of the meeting, the first President of TÜSİAD who served between the years of 1971-1979, the late Mr. </w:t>
      </w:r>
      <w:proofErr w:type="spellStart"/>
      <w:r>
        <w:rPr>
          <w:rFonts w:eastAsia="Times New Roman" w:cs="Times New Roman"/>
          <w:color w:val="1F497D" w:themeColor="text2"/>
        </w:rPr>
        <w:t>Feyyaz</w:t>
      </w:r>
      <w:proofErr w:type="spellEnd"/>
      <w:r>
        <w:rPr>
          <w:rFonts w:eastAsia="Times New Roman" w:cs="Times New Roman"/>
          <w:color w:val="1F497D" w:themeColor="text2"/>
        </w:rPr>
        <w:t xml:space="preserve"> Berker was commemorated. </w:t>
      </w:r>
      <w:r w:rsidR="00C06FD9">
        <w:rPr>
          <w:rFonts w:eastAsia="Times New Roman" w:cs="Times New Roman"/>
          <w:color w:val="1F497D" w:themeColor="text2"/>
        </w:rPr>
        <w:t>The c</w:t>
      </w:r>
      <w:r>
        <w:rPr>
          <w:rFonts w:eastAsia="Times New Roman" w:cs="Times New Roman"/>
          <w:color w:val="1F497D" w:themeColor="text2"/>
        </w:rPr>
        <w:t xml:space="preserve">ommemoration ceremony included speeches by Mr. </w:t>
      </w:r>
      <w:proofErr w:type="spellStart"/>
      <w:r>
        <w:rPr>
          <w:rFonts w:eastAsia="Times New Roman" w:cs="Times New Roman"/>
          <w:color w:val="1F497D" w:themeColor="text2"/>
        </w:rPr>
        <w:t>Bülent</w:t>
      </w:r>
      <w:proofErr w:type="spellEnd"/>
      <w:r>
        <w:rPr>
          <w:rFonts w:eastAsia="Times New Roman" w:cs="Times New Roman"/>
          <w:color w:val="1F497D" w:themeColor="text2"/>
        </w:rPr>
        <w:t xml:space="preserve"> </w:t>
      </w:r>
      <w:proofErr w:type="spellStart"/>
      <w:r>
        <w:rPr>
          <w:rFonts w:eastAsia="Times New Roman" w:cs="Times New Roman"/>
          <w:color w:val="1F497D" w:themeColor="text2"/>
        </w:rPr>
        <w:t>Eczacıbaşı</w:t>
      </w:r>
      <w:proofErr w:type="spellEnd"/>
      <w:r>
        <w:rPr>
          <w:rFonts w:eastAsia="Times New Roman" w:cs="Times New Roman"/>
          <w:color w:val="1F497D" w:themeColor="text2"/>
        </w:rPr>
        <w:t xml:space="preserve"> and Mr. </w:t>
      </w:r>
      <w:proofErr w:type="spellStart"/>
      <w:r>
        <w:rPr>
          <w:rFonts w:eastAsia="Times New Roman" w:cs="Times New Roman"/>
          <w:color w:val="1F497D" w:themeColor="text2"/>
        </w:rPr>
        <w:t>Nihat</w:t>
      </w:r>
      <w:proofErr w:type="spellEnd"/>
      <w:r>
        <w:rPr>
          <w:rFonts w:eastAsia="Times New Roman" w:cs="Times New Roman"/>
          <w:color w:val="1F497D" w:themeColor="text2"/>
        </w:rPr>
        <w:t xml:space="preserve"> </w:t>
      </w:r>
      <w:proofErr w:type="spellStart"/>
      <w:r>
        <w:rPr>
          <w:rFonts w:eastAsia="Times New Roman" w:cs="Times New Roman"/>
          <w:color w:val="1F497D" w:themeColor="text2"/>
        </w:rPr>
        <w:t>Gökyiğit</w:t>
      </w:r>
      <w:proofErr w:type="spellEnd"/>
      <w:r>
        <w:rPr>
          <w:rFonts w:eastAsia="Times New Roman" w:cs="Times New Roman"/>
          <w:color w:val="1F497D" w:themeColor="text2"/>
        </w:rPr>
        <w:t>.</w:t>
      </w:r>
    </w:p>
    <w:p w:rsidR="00E71AEE" w:rsidRDefault="00E71AEE">
      <w:pPr>
        <w:widowControl w:val="0"/>
        <w:spacing w:after="0" w:line="360" w:lineRule="auto"/>
        <w:jc w:val="both"/>
        <w:rPr>
          <w:rFonts w:ascii="Calibri" w:eastAsia="Times New Roman" w:hAnsi="Calibri" w:cs="Times New Roman"/>
          <w:color w:val="1F497D" w:themeColor="text2"/>
        </w:rPr>
      </w:pPr>
    </w:p>
    <w:p w:rsidR="00E71AEE" w:rsidRDefault="00CF2EB2">
      <w:pPr>
        <w:widowControl w:val="0"/>
        <w:spacing w:after="0" w:line="360" w:lineRule="auto"/>
        <w:jc w:val="both"/>
      </w:pPr>
      <w:r>
        <w:rPr>
          <w:rFonts w:eastAsia="Times New Roman" w:cs="Times New Roman"/>
          <w:color w:val="1F497D" w:themeColor="text2"/>
        </w:rPr>
        <w:t xml:space="preserve">Mr. </w:t>
      </w:r>
      <w:proofErr w:type="spellStart"/>
      <w:r>
        <w:rPr>
          <w:rFonts w:eastAsia="Times New Roman" w:cs="Times New Roman"/>
          <w:color w:val="1F497D" w:themeColor="text2"/>
        </w:rPr>
        <w:t>Tuncay</w:t>
      </w:r>
      <w:proofErr w:type="spellEnd"/>
      <w:r>
        <w:rPr>
          <w:rFonts w:eastAsia="Times New Roman" w:cs="Times New Roman"/>
          <w:color w:val="1F497D" w:themeColor="text2"/>
        </w:rPr>
        <w:t xml:space="preserve"> </w:t>
      </w:r>
      <w:proofErr w:type="spellStart"/>
      <w:r>
        <w:rPr>
          <w:rFonts w:eastAsia="Times New Roman" w:cs="Times New Roman"/>
          <w:color w:val="1F497D" w:themeColor="text2"/>
        </w:rPr>
        <w:t>Özilhan</w:t>
      </w:r>
      <w:proofErr w:type="spellEnd"/>
      <w:r>
        <w:rPr>
          <w:rFonts w:eastAsia="Times New Roman" w:cs="Times New Roman"/>
          <w:color w:val="1F497D" w:themeColor="text2"/>
        </w:rPr>
        <w:t xml:space="preserve">, President of the </w:t>
      </w:r>
      <w:r w:rsidR="00C06FD9" w:rsidRPr="00C06FD9">
        <w:rPr>
          <w:rFonts w:eastAsia="Times New Roman" w:cs="Times New Roman"/>
          <w:color w:val="1F497D" w:themeColor="text2"/>
        </w:rPr>
        <w:t xml:space="preserve">TÜSİAD </w:t>
      </w:r>
      <w:r>
        <w:rPr>
          <w:rFonts w:eastAsia="Times New Roman" w:cs="Times New Roman"/>
          <w:color w:val="1F497D" w:themeColor="text2"/>
        </w:rPr>
        <w:t xml:space="preserve">High Advisory Council, and Mr. Erol </w:t>
      </w:r>
      <w:proofErr w:type="spellStart"/>
      <w:r>
        <w:rPr>
          <w:rFonts w:eastAsia="Times New Roman" w:cs="Times New Roman"/>
          <w:color w:val="1F497D" w:themeColor="text2"/>
        </w:rPr>
        <w:t>Bilecik</w:t>
      </w:r>
      <w:proofErr w:type="spellEnd"/>
      <w:r>
        <w:rPr>
          <w:rFonts w:eastAsia="Times New Roman" w:cs="Times New Roman"/>
          <w:color w:val="1F497D" w:themeColor="text2"/>
        </w:rPr>
        <w:t xml:space="preserve">, President of the </w:t>
      </w:r>
      <w:r w:rsidR="00C06FD9" w:rsidRPr="00C06FD9">
        <w:rPr>
          <w:rFonts w:eastAsia="Times New Roman" w:cs="Times New Roman"/>
          <w:color w:val="1F497D" w:themeColor="text2"/>
        </w:rPr>
        <w:t xml:space="preserve">TÜSİAD </w:t>
      </w:r>
      <w:r>
        <w:rPr>
          <w:rFonts w:eastAsia="Times New Roman" w:cs="Times New Roman"/>
          <w:color w:val="1F497D" w:themeColor="text2"/>
        </w:rPr>
        <w:t xml:space="preserve">Board of Directors delivered the opening </w:t>
      </w:r>
      <w:proofErr w:type="gramStart"/>
      <w:r>
        <w:rPr>
          <w:rFonts w:eastAsia="Times New Roman" w:cs="Times New Roman"/>
          <w:color w:val="1F497D" w:themeColor="text2"/>
        </w:rPr>
        <w:t>speeches .</w:t>
      </w:r>
      <w:proofErr w:type="gramEnd"/>
    </w:p>
    <w:p w:rsidR="00E71AEE" w:rsidRDefault="00E71AEE">
      <w:pPr>
        <w:widowControl w:val="0"/>
        <w:spacing w:after="0" w:line="360" w:lineRule="auto"/>
        <w:jc w:val="both"/>
        <w:rPr>
          <w:rFonts w:ascii="Calibri" w:eastAsia="Times New Roman" w:hAnsi="Calibri" w:cs="Times New Roman"/>
          <w:color w:val="1F497D" w:themeColor="text2"/>
        </w:rPr>
      </w:pPr>
    </w:p>
    <w:p w:rsidR="00E71AEE" w:rsidRDefault="00CF2EB2">
      <w:pPr>
        <w:widowControl w:val="0"/>
        <w:spacing w:after="0" w:line="360" w:lineRule="auto"/>
        <w:jc w:val="both"/>
      </w:pPr>
      <w:r>
        <w:rPr>
          <w:rFonts w:eastAsia="Times New Roman" w:cs="Times New Roman"/>
          <w:color w:val="1F497D" w:themeColor="text2"/>
        </w:rPr>
        <w:t>Following the completion of the order of the day of the general assembly, Sir Suma Chakrabarti, President of the European Bank for Reconstruction and Development (EBRD) delivered a concluding speech.</w:t>
      </w:r>
    </w:p>
    <w:p w:rsidR="00E71AEE" w:rsidRDefault="00E71AEE">
      <w:pPr>
        <w:widowControl w:val="0"/>
        <w:spacing w:after="0" w:line="360" w:lineRule="auto"/>
        <w:jc w:val="both"/>
        <w:rPr>
          <w:rFonts w:ascii="Calibri" w:eastAsia="Times New Roman" w:hAnsi="Calibri" w:cs="Times New Roman"/>
          <w:color w:val="1F497D" w:themeColor="text2"/>
        </w:rPr>
      </w:pPr>
    </w:p>
    <w:p w:rsidR="00E71AEE" w:rsidRDefault="00E71AEE">
      <w:pPr>
        <w:widowControl w:val="0"/>
        <w:spacing w:after="0" w:line="360" w:lineRule="auto"/>
        <w:jc w:val="both"/>
        <w:rPr>
          <w:rFonts w:ascii="Calibri" w:hAnsi="Calibri" w:cs="Times New Roman"/>
          <w:color w:val="1F497D" w:themeColor="text2"/>
        </w:rPr>
      </w:pPr>
    </w:p>
    <w:p w:rsidR="00E71AEE" w:rsidRDefault="00E71AEE">
      <w:pPr>
        <w:widowControl w:val="0"/>
        <w:spacing w:after="0" w:line="360" w:lineRule="auto"/>
        <w:jc w:val="both"/>
        <w:rPr>
          <w:rFonts w:ascii="Calibri" w:hAnsi="Calibri" w:cs="Times New Roman"/>
          <w:color w:val="1F497D" w:themeColor="text2"/>
        </w:rPr>
      </w:pPr>
    </w:p>
    <w:p w:rsidR="00E71AEE" w:rsidRDefault="00E71AEE">
      <w:pPr>
        <w:widowControl w:val="0"/>
        <w:spacing w:after="0" w:line="360" w:lineRule="auto"/>
        <w:jc w:val="both"/>
      </w:pPr>
    </w:p>
    <w:sectPr w:rsidR="00E71AEE">
      <w:headerReference w:type="default" r:id="rId7"/>
      <w:pgSz w:w="11906" w:h="16838"/>
      <w:pgMar w:top="1417" w:right="566" w:bottom="1417" w:left="2694" w:header="284" w:footer="0"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1837" w:rsidRDefault="00B11837">
      <w:pPr>
        <w:spacing w:after="0" w:line="240" w:lineRule="auto"/>
      </w:pPr>
      <w:r>
        <w:separator/>
      </w:r>
    </w:p>
  </w:endnote>
  <w:endnote w:type="continuationSeparator" w:id="0">
    <w:p w:rsidR="00B11837" w:rsidRDefault="00B118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Courier New">
    <w:panose1 w:val="02070309020205020404"/>
    <w:charset w:val="A2"/>
    <w:family w:val="modern"/>
    <w:pitch w:val="fixed"/>
    <w:sig w:usb0="E0002EFF" w:usb1="C0007843" w:usb2="00000009" w:usb3="00000000" w:csb0="000001FF" w:csb1="00000000"/>
  </w:font>
  <w:font w:name="Arial">
    <w:panose1 w:val="020B0604020202020204"/>
    <w:charset w:val="A2"/>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2"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2"/>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1837" w:rsidRDefault="00B11837">
      <w:pPr>
        <w:spacing w:after="0" w:line="240" w:lineRule="auto"/>
      </w:pPr>
      <w:r>
        <w:separator/>
      </w:r>
    </w:p>
  </w:footnote>
  <w:footnote w:type="continuationSeparator" w:id="0">
    <w:p w:rsidR="00B11837" w:rsidRDefault="00B118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1AEE" w:rsidRDefault="00CF2EB2">
    <w:pPr>
      <w:pStyle w:val="stBilgi"/>
      <w:jc w:val="right"/>
    </w:pPr>
    <w:r>
      <w:rPr>
        <w:noProof/>
      </w:rPr>
      <w:drawing>
        <wp:inline distT="0" distB="0" distL="0" distR="0" wp14:anchorId="0EBB0EAE" wp14:editId="392EDA5D">
          <wp:extent cx="5490210" cy="1313815"/>
          <wp:effectExtent l="0" t="0" r="0" b="0"/>
          <wp:docPr id="6"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1"/>
                  <pic:cNvPicPr>
                    <a:picLocks noChangeAspect="1" noChangeArrowheads="1"/>
                  </pic:cNvPicPr>
                </pic:nvPicPr>
                <pic:blipFill>
                  <a:blip r:embed="rId1"/>
                  <a:stretch>
                    <a:fillRect/>
                  </a:stretch>
                </pic:blipFill>
                <pic:spPr bwMode="auto">
                  <a:xfrm>
                    <a:off x="0" y="0"/>
                    <a:ext cx="5490210" cy="1313815"/>
                  </a:xfrm>
                  <a:prstGeom prst="rect">
                    <a:avLst/>
                  </a:prstGeom>
                </pic:spPr>
              </pic:pic>
            </a:graphicData>
          </a:graphic>
        </wp:inline>
      </w:drawing>
    </w:r>
    <w:r>
      <w:rPr>
        <w:noProof/>
      </w:rPr>
      <mc:AlternateContent>
        <mc:Choice Requires="wps">
          <w:drawing>
            <wp:anchor distT="0" distB="0" distL="114300" distR="114300" simplePos="0" relativeHeight="3" behindDoc="1" locked="0" layoutInCell="1" allowOverlap="1" wp14:anchorId="557C019E" wp14:editId="1156F074">
              <wp:simplePos x="0" y="0"/>
              <wp:positionH relativeFrom="column">
                <wp:posOffset>-1603375</wp:posOffset>
              </wp:positionH>
              <wp:positionV relativeFrom="paragraph">
                <wp:posOffset>2221865</wp:posOffset>
              </wp:positionV>
              <wp:extent cx="1276985" cy="7033260"/>
              <wp:effectExtent l="0" t="0" r="0" b="0"/>
              <wp:wrapNone/>
              <wp:docPr id="1" name="Metin Kutusu 3"/>
              <wp:cNvGraphicFramePr/>
              <a:graphic xmlns:a="http://schemas.openxmlformats.org/drawingml/2006/main">
                <a:graphicData uri="http://schemas.microsoft.com/office/word/2010/wordprocessingShape">
                  <wps:wsp>
                    <wps:cNvSpPr/>
                    <wps:spPr>
                      <a:xfrm>
                        <a:off x="0" y="0"/>
                        <a:ext cx="1276200" cy="7032600"/>
                      </a:xfrm>
                      <a:prstGeom prst="rect">
                        <a:avLst/>
                      </a:prstGeom>
                      <a:noFill/>
                      <a:ln w="6480">
                        <a:noFill/>
                      </a:ln>
                    </wps:spPr>
                    <wps:style>
                      <a:lnRef idx="0">
                        <a:schemeClr val="accent1"/>
                      </a:lnRef>
                      <a:fillRef idx="0">
                        <a:schemeClr val="accent1"/>
                      </a:fillRef>
                      <a:effectRef idx="0">
                        <a:schemeClr val="accent1"/>
                      </a:effectRef>
                      <a:fontRef idx="minor"/>
                    </wps:style>
                    <wps:txbx>
                      <w:txbxContent>
                        <w:p w:rsidR="00E71AEE" w:rsidRDefault="00CF2EB2">
                          <w:pPr>
                            <w:pStyle w:val="FrameContents"/>
                          </w:pPr>
                          <w:r>
                            <w:rPr>
                              <w:noProof/>
                            </w:rPr>
                            <w:drawing>
                              <wp:inline distT="0" distB="0" distL="0" distR="0" wp14:anchorId="04A83B62" wp14:editId="44FAD3E0">
                                <wp:extent cx="1308100" cy="6778625"/>
                                <wp:effectExtent l="0" t="0" r="0" b="0"/>
                                <wp:docPr id="3"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5"/>
                                        <pic:cNvPicPr>
                                          <a:picLocks noChangeAspect="1" noChangeArrowheads="1"/>
                                        </pic:cNvPicPr>
                                      </pic:nvPicPr>
                                      <pic:blipFill>
                                        <a:blip r:embed="rId2"/>
                                        <a:stretch>
                                          <a:fillRect/>
                                        </a:stretch>
                                      </pic:blipFill>
                                      <pic:spPr bwMode="auto">
                                        <a:xfrm>
                                          <a:off x="0" y="0"/>
                                          <a:ext cx="1308100" cy="6778625"/>
                                        </a:xfrm>
                                        <a:prstGeom prst="rect">
                                          <a:avLst/>
                                        </a:prstGeom>
                                      </pic:spPr>
                                    </pic:pic>
                                  </a:graphicData>
                                </a:graphic>
                              </wp:inline>
                            </w:drawing>
                          </w:r>
                        </w:p>
                      </w:txbxContent>
                    </wps:txbx>
                    <wps:bodyPr lIns="90000" tIns="45000" rIns="90000" bIns="45000">
                      <a:noAutofit/>
                    </wps:bodyPr>
                  </wps:wsp>
                </a:graphicData>
              </a:graphic>
            </wp:anchor>
          </w:drawing>
        </mc:Choice>
        <mc:Fallback>
          <w:pict>
            <v:rect w14:anchorId="557C019E" id="Metin Kutusu 3" o:spid="_x0000_s1026" style="position:absolute;left:0;text-align:left;margin-left:-126.25pt;margin-top:174.95pt;width:100.55pt;height:553.8pt;z-index:-50331647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" filled="f" stroked="f" strokeweight=".18mm">
              <v:textbox inset="2.5mm,1.25mm,2.5mm,1.25mm">
                <w:txbxContent>
                  <w:p w:rsidR="00E71AEE" w:rsidRDefault="00CF2EB2">
                    <w:pPr>
                      <w:pStyle w:val="FrameContents"/>
                    </w:pPr>
                    <w:r>
                      <w:rPr>
                        <w:noProof/>
                      </w:rPr>
                      <w:drawing>
                        <wp:inline distT="0" distB="0" distL="0" distR="0" wp14:anchorId="04A83B62" wp14:editId="44FAD3E0">
                          <wp:extent cx="1308100" cy="6778625"/>
                          <wp:effectExtent l="0" t="0" r="0" b="0"/>
                          <wp:docPr id="3"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5"/>
                                  <pic:cNvPicPr>
                                    <a:picLocks noChangeAspect="1" noChangeArrowheads="1"/>
                                  </pic:cNvPicPr>
                                </pic:nvPicPr>
                                <pic:blipFill>
                                  <a:blip r:embed="rId2"/>
                                  <a:stretch>
                                    <a:fillRect/>
                                  </a:stretch>
                                </pic:blipFill>
                                <pic:spPr bwMode="auto">
                                  <a:xfrm>
                                    <a:off x="0" y="0"/>
                                    <a:ext cx="1308100" cy="6778625"/>
                                  </a:xfrm>
                                  <a:prstGeom prst="rect">
                                    <a:avLst/>
                                  </a:prstGeom>
                                </pic:spPr>
                              </pic:pic>
                            </a:graphicData>
                          </a:graphic>
                        </wp:inline>
                      </w:drawing>
                    </w:r>
                  </w:p>
                </w:txbxContent>
              </v:textbox>
            </v:rect>
          </w:pict>
        </mc:Fallback>
      </mc:AlternateContent>
    </w:r>
    <w:r>
      <w:rPr>
        <w:noProof/>
      </w:rPr>
      <mc:AlternateContent>
        <mc:Choice Requires="wps">
          <w:drawing>
            <wp:anchor distT="0" distB="0" distL="114300" distR="114300" simplePos="0" relativeHeight="5" behindDoc="1" locked="0" layoutInCell="1" allowOverlap="1" wp14:anchorId="4F5354C0" wp14:editId="4AE735F2">
              <wp:simplePos x="0" y="0"/>
              <wp:positionH relativeFrom="column">
                <wp:posOffset>-1708150</wp:posOffset>
              </wp:positionH>
              <wp:positionV relativeFrom="paragraph">
                <wp:posOffset>3210560</wp:posOffset>
              </wp:positionV>
              <wp:extent cx="766445" cy="1905"/>
              <wp:effectExtent l="0" t="0" r="15875" b="19050"/>
              <wp:wrapNone/>
              <wp:docPr id="5" name="Düz Bağlayıcı 2"/>
              <wp:cNvGraphicFramePr/>
              <a:graphic xmlns:a="http://schemas.openxmlformats.org/drawingml/2006/main">
                <a:graphicData uri="http://schemas.microsoft.com/office/word/2010/wordprocessingShape">
                  <wps:wsp>
                    <wps:cNvCnPr/>
                    <wps:spPr>
                      <a:xfrm flipH="1">
                        <a:off x="0" y="0"/>
                        <a:ext cx="765720" cy="0"/>
                      </a:xfrm>
                      <a:prstGeom prst="line">
                        <a:avLst/>
                      </a:prstGeom>
                      <a:ln>
                        <a:solidFill>
                          <a:srgbClr val="4A7EBB"/>
                        </a:solidFill>
                        <a:round/>
                      </a:ln>
                    </wps:spPr>
                    <wps:style>
                      <a:lnRef idx="1">
                        <a:schemeClr val="accent1"/>
                      </a:lnRef>
                      <a:fillRef idx="0">
                        <a:schemeClr val="accent1"/>
                      </a:fillRef>
                      <a:effectRef idx="0">
                        <a:schemeClr val="accent1"/>
                      </a:effectRef>
                      <a:fontRef idx="minor"/>
                    </wps:style>
                    <wps:bodyPr/>
                  </wps:wsp>
                </a:graphicData>
              </a:graphic>
            </wp:anchor>
          </w:drawing>
        </mc:Choice>
        <mc:Fallback>
          <w:pict>
            <v:line w14:anchorId="31ED72B5" id="Düz Bağlayıcı 2" o:spid="_x0000_s1026" style="position:absolute;flip:x;z-index:-503316475;visibility:visible;mso-wrap-style:square;mso-wrap-distance-left:9pt;mso-wrap-distance-top:0;mso-wrap-distance-right:9pt;mso-wrap-distance-bottom:0;mso-position-horizontal:absolute;mso-position-horizontal-relative:text;mso-position-vertical:absolute;mso-position-vertical-relative:text" from="-134.5pt,252.8pt" to="-74.15pt,25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" strokecolor="#4a7ebb"/>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AEE"/>
    <w:rsid w:val="005179F7"/>
    <w:rsid w:val="006848A4"/>
    <w:rsid w:val="00AF6420"/>
    <w:rsid w:val="00B11837"/>
    <w:rsid w:val="00C06FD9"/>
    <w:rsid w:val="00CF2EB2"/>
    <w:rsid w:val="00E71AEE"/>
    <w:rsid w:val="00F66D62"/>
    <w:rsid w:val="00FC2C1E"/>
  </w:rsids>
  <m:mathPr>
    <m:mathFont m:val="Cambria Math"/>
    <m:brkBin m:val="before"/>
    <m:brkBinSub m:val="--"/>
    <m:smallFrac m:val="0"/>
    <m:dispDef/>
    <m:lMargin m:val="0"/>
    <m:rMargin m:val="0"/>
    <m:defJc m:val="centerGroup"/>
    <m:wrapIndent m:val="1440"/>
    <m:intLim m:val="subSup"/>
    <m:naryLim m:val="undOvr"/>
  </m:mathPr>
  <w:themeFontLang w:val="tr-TR"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22FF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B08A6"/>
    <w:pPr>
      <w:spacing w:after="200" w:line="276" w:lineRule="auto"/>
    </w:pPr>
    <w:rPr>
      <w:color w:val="00000A"/>
      <w:sz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stBilgiChar">
    <w:name w:val="Üst Bilgi Char"/>
    <w:basedOn w:val="VarsaylanParagrafYazTipi"/>
    <w:uiPriority w:val="99"/>
    <w:qFormat/>
    <w:rsid w:val="00647CA8"/>
  </w:style>
  <w:style w:type="character" w:customStyle="1" w:styleId="AltBilgiChar">
    <w:name w:val="Alt Bilgi Char"/>
    <w:basedOn w:val="VarsaylanParagrafYazTipi"/>
    <w:link w:val="AltBilgi"/>
    <w:uiPriority w:val="99"/>
    <w:qFormat/>
    <w:rsid w:val="00647CA8"/>
  </w:style>
  <w:style w:type="character" w:customStyle="1" w:styleId="BalonMetniChar">
    <w:name w:val="Balon Metni Char"/>
    <w:basedOn w:val="VarsaylanParagrafYazTipi"/>
    <w:link w:val="BalonMetni"/>
    <w:uiPriority w:val="99"/>
    <w:semiHidden/>
    <w:qFormat/>
    <w:rsid w:val="00647CA8"/>
    <w:rPr>
      <w:rFonts w:ascii="Tahoma" w:hAnsi="Tahoma" w:cs="Tahoma"/>
      <w:sz w:val="16"/>
      <w:szCs w:val="16"/>
    </w:rPr>
  </w:style>
  <w:style w:type="character" w:customStyle="1" w:styleId="InternetLink">
    <w:name w:val="Internet Link"/>
    <w:basedOn w:val="VarsaylanParagrafYazTipi"/>
    <w:unhideWhenUsed/>
    <w:rsid w:val="007C5697"/>
    <w:rPr>
      <w:color w:val="0000FF" w:themeColor="hyperlink"/>
      <w:u w:val="single"/>
    </w:rPr>
  </w:style>
  <w:style w:type="character" w:styleId="Vurgu">
    <w:name w:val="Emphasis"/>
    <w:basedOn w:val="VarsaylanParagrafYazTipi"/>
    <w:uiPriority w:val="20"/>
    <w:qFormat/>
    <w:rsid w:val="005230B1"/>
    <w:rPr>
      <w:i/>
      <w:iCs/>
    </w:rPr>
  </w:style>
  <w:style w:type="character" w:customStyle="1" w:styleId="apple-converted-space">
    <w:name w:val="apple-converted-space"/>
    <w:basedOn w:val="VarsaylanParagrafYazTipi"/>
    <w:qFormat/>
    <w:rsid w:val="005230B1"/>
  </w:style>
  <w:style w:type="character" w:styleId="Gl">
    <w:name w:val="Strong"/>
    <w:basedOn w:val="VarsaylanParagrafYazTipi"/>
    <w:uiPriority w:val="22"/>
    <w:qFormat/>
    <w:rsid w:val="002F0428"/>
    <w:rPr>
      <w:b/>
      <w:bCs/>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eastAsia="Calibri" w:cs="Times New Roman"/>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paragraph" w:customStyle="1" w:styleId="Heading">
    <w:name w:val="Heading"/>
    <w:basedOn w:val="Normal"/>
    <w:next w:val="GvdeMetni"/>
    <w:qFormat/>
    <w:pPr>
      <w:keepNext/>
      <w:spacing w:before="240" w:after="120"/>
    </w:pPr>
    <w:rPr>
      <w:rFonts w:ascii="Arial" w:eastAsia="Microsoft YaHei" w:hAnsi="Arial" w:cs="Mangal"/>
      <w:sz w:val="28"/>
      <w:szCs w:val="28"/>
    </w:rPr>
  </w:style>
  <w:style w:type="paragraph" w:styleId="GvdeMetni">
    <w:name w:val="Body Text"/>
    <w:basedOn w:val="Normal"/>
    <w:pPr>
      <w:spacing w:after="140" w:line="288" w:lineRule="auto"/>
    </w:pPr>
  </w:style>
  <w:style w:type="paragraph" w:styleId="Liste">
    <w:name w:val="List"/>
    <w:basedOn w:val="GvdeMetni"/>
    <w:rPr>
      <w:rFonts w:ascii="Arial" w:hAnsi="Arial" w:cs="Mangal"/>
    </w:rPr>
  </w:style>
  <w:style w:type="paragraph" w:styleId="ResimYazs">
    <w:name w:val="caption"/>
    <w:basedOn w:val="Normal"/>
    <w:qFormat/>
    <w:pPr>
      <w:suppressLineNumbers/>
      <w:spacing w:before="120" w:after="120"/>
    </w:pPr>
    <w:rPr>
      <w:rFonts w:ascii="Arial" w:hAnsi="Arial" w:cs="Mangal"/>
      <w:i/>
      <w:iCs/>
      <w:sz w:val="24"/>
      <w:szCs w:val="24"/>
    </w:rPr>
  </w:style>
  <w:style w:type="paragraph" w:customStyle="1" w:styleId="Index">
    <w:name w:val="Index"/>
    <w:basedOn w:val="Normal"/>
    <w:qFormat/>
    <w:pPr>
      <w:suppressLineNumbers/>
    </w:pPr>
    <w:rPr>
      <w:rFonts w:ascii="Arial" w:hAnsi="Arial" w:cs="Mangal"/>
    </w:rPr>
  </w:style>
  <w:style w:type="paragraph" w:styleId="stBilgi">
    <w:name w:val="header"/>
    <w:basedOn w:val="Normal"/>
    <w:uiPriority w:val="99"/>
    <w:unhideWhenUsed/>
    <w:rsid w:val="00647CA8"/>
    <w:pPr>
      <w:tabs>
        <w:tab w:val="center" w:pos="4536"/>
        <w:tab w:val="right" w:pos="9072"/>
      </w:tabs>
      <w:spacing w:after="0" w:line="240" w:lineRule="auto"/>
    </w:pPr>
  </w:style>
  <w:style w:type="paragraph" w:styleId="AltBilgi">
    <w:name w:val="footer"/>
    <w:basedOn w:val="Normal"/>
    <w:link w:val="AltBilgiChar"/>
    <w:uiPriority w:val="99"/>
    <w:unhideWhenUsed/>
    <w:rsid w:val="00647CA8"/>
    <w:pPr>
      <w:tabs>
        <w:tab w:val="center" w:pos="4536"/>
        <w:tab w:val="right" w:pos="9072"/>
      </w:tabs>
      <w:spacing w:after="0" w:line="240" w:lineRule="auto"/>
    </w:pPr>
  </w:style>
  <w:style w:type="paragraph" w:styleId="BalonMetni">
    <w:name w:val="Balloon Text"/>
    <w:basedOn w:val="Normal"/>
    <w:link w:val="BalonMetniChar"/>
    <w:uiPriority w:val="99"/>
    <w:semiHidden/>
    <w:unhideWhenUsed/>
    <w:qFormat/>
    <w:rsid w:val="00647CA8"/>
    <w:pPr>
      <w:spacing w:after="0" w:line="240" w:lineRule="auto"/>
    </w:pPr>
    <w:rPr>
      <w:rFonts w:ascii="Tahoma" w:hAnsi="Tahoma" w:cs="Tahoma"/>
      <w:sz w:val="16"/>
      <w:szCs w:val="16"/>
    </w:rPr>
  </w:style>
  <w:style w:type="paragraph" w:customStyle="1" w:styleId="Body">
    <w:name w:val="Body"/>
    <w:qFormat/>
    <w:rsid w:val="008B08A6"/>
    <w:rPr>
      <w:rFonts w:ascii="Calibri" w:eastAsia="Calibri" w:hAnsi="Calibri" w:cs="Calibri"/>
      <w:color w:val="000000"/>
      <w:sz w:val="22"/>
      <w:u w:color="000000"/>
      <w:lang w:eastAsia="tr-TR"/>
    </w:rPr>
  </w:style>
  <w:style w:type="paragraph" w:customStyle="1" w:styleId="BodyA">
    <w:name w:val="Body A"/>
    <w:qFormat/>
    <w:rsid w:val="005B6D77"/>
    <w:rPr>
      <w:rFonts w:ascii="Calibri" w:eastAsia="Calibri" w:hAnsi="Calibri" w:cs="Calibri"/>
      <w:color w:val="000000"/>
      <w:sz w:val="22"/>
      <w:u w:color="000000"/>
    </w:rPr>
  </w:style>
  <w:style w:type="paragraph" w:styleId="ListeParagraf">
    <w:name w:val="List Paragraph"/>
    <w:basedOn w:val="Normal"/>
    <w:uiPriority w:val="34"/>
    <w:qFormat/>
    <w:rsid w:val="007A306B"/>
    <w:pPr>
      <w:ind w:left="720"/>
      <w:contextualSpacing/>
    </w:pPr>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B4A855-3734-4B94-80F8-FFFC269E8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348</Words>
  <Characters>1989</Characters>
  <Application>Microsoft Office Word</Application>
  <DocSecurity>0</DocSecurity>
  <Lines>16</Lines>
  <Paragraphs>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By NeC ® 2010 | Katilimsiz.Com</Company>
  <LinksUpToDate>false</LinksUpToDate>
  <CharactersWithSpaces>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DOGAN KUMOVA</dc:creator>
  <dc:description/>
  <cp:lastModifiedBy>SU TUNCER</cp:lastModifiedBy>
  <cp:revision>2</cp:revision>
  <cp:lastPrinted>2016-02-04T09:27:00Z</cp:lastPrinted>
  <dcterms:created xsi:type="dcterms:W3CDTF">2018-02-12T12:57:00Z</dcterms:created>
  <dcterms:modified xsi:type="dcterms:W3CDTF">2018-02-12T12:57:00Z</dcterms:modified>
  <dc:language>tr-TR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By NeC ® 2010 | Katilimsiz.Com</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